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spacing w:line="360" w:lineRule="auto"/>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906"/>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06"/>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06"/>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紫金山实验室双紧缩场精装修工程</w:t>
      </w:r>
      <w:r>
        <w:rPr>
          <w:rFonts w:hint="eastAsia" w:ascii="仿宋" w:hAnsi="仿宋" w:eastAsia="仿宋" w:cs="仿宋"/>
          <w:color w:val="000000"/>
          <w:sz w:val="32"/>
          <w:szCs w:val="32"/>
          <w:highlight w:val="none"/>
        </w:rPr>
      </w:r>
      <w:r/>
    </w:p>
    <w:p>
      <w:pPr>
        <w:pStyle w:val="906"/>
        <w:jc w:val="center"/>
        <w:spacing w:line="360" w:lineRule="auto"/>
        <w:tabs>
          <w:tab w:val="left" w:pos="390" w:leader="none"/>
          <w:tab w:val="center" w:pos="4404"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06"/>
        <w:jc w:val="center"/>
        <w:spacing w:line="360" w:lineRule="auto"/>
        <w:tabs>
          <w:tab w:val="left" w:pos="390" w:leader="none"/>
          <w:tab w:val="center" w:pos="4404" w:leader="none"/>
        </w:tabs>
        <w:rPr>
          <w:rFonts w:hint="eastAsia" w:ascii="仿宋" w:hAnsi="仿宋" w:eastAsia="仿宋" w:cs="仿宋"/>
          <w:b/>
          <w:bCs/>
          <w:color w:val="000000"/>
          <w:sz w:val="72"/>
          <w:szCs w:val="72"/>
          <w:highlight w:val="none"/>
        </w:rPr>
      </w:pPr>
      <w:r>
        <w:rPr>
          <w:rFonts w:hint="eastAsia" w:ascii="仿宋" w:hAnsi="仿宋" w:eastAsia="仿宋" w:cs="仿宋"/>
          <w:b/>
          <w:bCs/>
          <w:color w:val="000000"/>
          <w:sz w:val="72"/>
          <w:szCs w:val="72"/>
          <w:highlight w:val="none"/>
        </w:rPr>
        <w:t xml:space="preserve">竞争性磋商文件</w:t>
      </w:r>
      <w:r>
        <w:rPr>
          <w:rFonts w:hint="eastAsia" w:ascii="仿宋" w:hAnsi="仿宋" w:eastAsia="仿宋" w:cs="仿宋"/>
          <w:b/>
          <w:bCs/>
          <w:color w:val="000000"/>
          <w:sz w:val="72"/>
          <w:szCs w:val="72"/>
          <w:highlight w:val="none"/>
        </w:rPr>
      </w:r>
      <w:r/>
    </w:p>
    <w:p>
      <w:pPr>
        <w:pStyle w:val="906"/>
        <w:jc w:val="center"/>
        <w:spacing w:line="360" w:lineRule="auto"/>
        <w:tabs>
          <w:tab w:val="left" w:pos="6379" w:leader="none"/>
        </w:tabs>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项目编号：</w:t>
      </w:r>
      <w:r>
        <w:rPr>
          <w:rFonts w:hint="eastAsia" w:ascii="仿宋" w:hAnsi="仿宋" w:eastAsia="仿宋" w:cs="仿宋"/>
          <w:b/>
          <w:bCs/>
          <w:color w:val="000000"/>
          <w:sz w:val="24"/>
          <w:szCs w:val="24"/>
          <w:highlight w:val="none"/>
          <w:lang w:eastAsia="zh-CN"/>
        </w:rPr>
        <w:t xml:space="preserve">JSZC-320100-JSCX-C2025-0007</w:t>
      </w:r>
      <w:r>
        <w:rPr>
          <w:rFonts w:hint="eastAsia" w:ascii="仿宋" w:hAnsi="仿宋" w:eastAsia="仿宋" w:cs="仿宋"/>
          <w:b/>
          <w:bCs/>
          <w:color w:val="000000"/>
          <w:sz w:val="24"/>
          <w:szCs w:val="24"/>
          <w:highlight w:val="none"/>
          <w:lang w:eastAsia="zh-CN"/>
        </w:rPr>
      </w:r>
      <w:r/>
    </w:p>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（本项目专门面向中小企业）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采购人：紫金山实验室</w:t>
      </w:r>
      <w:r>
        <w:rPr>
          <w:rFonts w:hint="eastAsia" w:ascii="仿宋" w:hAnsi="仿宋" w:eastAsia="仿宋" w:cs="仿宋"/>
          <w:b/>
          <w:color w:val="000000"/>
          <w:sz w:val="24"/>
          <w:szCs w:val="24"/>
          <w:highlight w:val="none"/>
        </w:rPr>
      </w:r>
      <w:r/>
    </w:p>
    <w:p>
      <w:pPr>
        <w:pStyle w:val="906"/>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采购代理机构：江苏诚信工程咨询管理有限公司</w:t>
      </w:r>
      <w:r>
        <w:rPr>
          <w:rFonts w:hint="eastAsia" w:ascii="仿宋" w:hAnsi="仿宋" w:eastAsia="仿宋" w:cs="仿宋"/>
          <w:b/>
          <w:color w:val="000000"/>
          <w:sz w:val="24"/>
          <w:szCs w:val="24"/>
          <w:highlight w:val="none"/>
        </w:rPr>
      </w:r>
      <w:r/>
    </w:p>
    <w:p>
      <w:pPr>
        <w:pStyle w:val="906"/>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日期：2025年1</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月</w:t>
      </w:r>
      <w:r>
        <w:rPr>
          <w:rFonts w:hint="eastAsia" w:ascii="仿宋" w:hAnsi="仿宋" w:eastAsia="仿宋" w:cs="仿宋"/>
          <w:b/>
          <w:color w:val="000000"/>
          <w:sz w:val="24"/>
          <w:szCs w:val="24"/>
          <w:highlight w:val="none"/>
        </w:rPr>
      </w:r>
      <w:r/>
    </w:p>
    <w:p>
      <w:pPr>
        <w:pStyle w:val="1032"/>
        <w:numPr>
          <w:ilvl w:val="0"/>
          <w:numId w:val="0"/>
        </w:numPr>
        <w:ind w:right="-733"/>
        <w:jc w:val="both"/>
        <w:spacing w:after="480" w:line="360" w:lineRule="auto"/>
        <w:rPr>
          <w:rFonts w:hint="eastAsia" w:ascii="仿宋" w:hAnsi="仿宋" w:eastAsia="仿宋" w:cs="仿宋"/>
          <w:color w:val="000000"/>
          <w:sz w:val="24"/>
          <w:szCs w:val="24"/>
          <w:highlight w:val="none"/>
        </w:rPr>
        <w:sectPr>
          <w:footerReference w:type="default" r:id="rId13"/>
          <w:footnotePr/>
          <w:endnotePr/>
          <w:type w:val="nextPage"/>
          <w:pgSz w:w="11906" w:h="16838" w:orient="portrait"/>
          <w:pgMar w:top="1440" w:right="1800" w:bottom="1440" w:left="1800" w:header="851" w:footer="680" w:gutter="0"/>
          <w:cols w:num="1" w:sep="0" w:space="1701" w:equalWidth="1"/>
          <w:docGrid w:linePitch="360"/>
        </w:sectPr>
      </w:pPr>
      <w:r/>
      <w:bookmarkStart w:id="0" w:name="_Toc9456"/>
      <w:r>
        <w:rPr>
          <w:rFonts w:hint="eastAsia" w:ascii="仿宋" w:hAnsi="仿宋" w:eastAsia="仿宋" w:cs="仿宋"/>
          <w:color w:val="000000"/>
          <w:sz w:val="24"/>
          <w:szCs w:val="24"/>
          <w:highlight w:val="none"/>
        </w:rPr>
      </w:r>
      <w:r/>
    </w:p>
    <w:p>
      <w:pPr>
        <w:pStyle w:val="1032"/>
        <w:numPr>
          <w:ilvl w:val="0"/>
          <w:numId w:val="0"/>
        </w:numPr>
        <w:ind w:right="-733"/>
        <w:jc w:val="both"/>
        <w:spacing w:after="480"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目录</w:t>
      </w:r>
      <w:bookmarkEnd w:id="0"/>
      <w:r>
        <w:rPr>
          <w:rFonts w:hint="eastAsia" w:ascii="仿宋" w:hAnsi="仿宋" w:eastAsia="仿宋" w:cs="仿宋"/>
          <w:color w:val="000000"/>
          <w:sz w:val="24"/>
          <w:szCs w:val="24"/>
          <w:highlight w:val="none"/>
          <w:lang w:val="zh-CN"/>
        </w:rPr>
      </w:r>
      <w:r/>
    </w:p>
    <w:p>
      <w:pPr>
        <w:pStyle w:val="962"/>
        <w:spacing w:line="360" w:lineRule="auto"/>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rPr>
        <w:fldChar w:fldCharType="begin"/>
      </w:r>
      <w:r>
        <w:rPr>
          <w:rFonts w:hint="eastAsia" w:ascii="仿宋" w:hAnsi="仿宋" w:eastAsia="仿宋" w:cs="仿宋"/>
          <w:b w:val="0"/>
          <w:color w:val="000000"/>
          <w:sz w:val="24"/>
          <w:szCs w:val="24"/>
          <w:highlight w:val="none"/>
        </w:rPr>
        <w:instrText xml:space="preserve"> TOC \o "1-3" \h \z \u </w:instrText>
      </w:r>
      <w:r>
        <w:rPr>
          <w:rFonts w:hint="eastAsia" w:ascii="仿宋" w:hAnsi="仿宋" w:eastAsia="仿宋" w:cs="仿宋"/>
          <w:b w:val="0"/>
          <w:color w:val="000000"/>
          <w:sz w:val="24"/>
          <w:szCs w:val="24"/>
          <w:highlight w:val="none"/>
        </w:rPr>
        <w:fldChar w:fldCharType="separate"/>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_Toc18510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zh-CN"/>
        </w:rPr>
        <w:t xml:space="preserve">第一章 竞争性磋商</w:t>
      </w:r>
      <w:r>
        <w:rPr>
          <w:rFonts w:hint="eastAsia" w:ascii="仿宋" w:hAnsi="仿宋" w:eastAsia="仿宋" w:cs="仿宋"/>
          <w:color w:val="000000"/>
          <w:sz w:val="24"/>
          <w:szCs w:val="24"/>
          <w:highlight w:val="none"/>
        </w:rPr>
        <w:t xml:space="preserve">邀请</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62"/>
        <w:spacing w:line="360" w:lineRule="auto"/>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_Toc19956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lang w:val="zh-CN"/>
        </w:rPr>
        <w:t xml:space="preserve">第二章 竞争性磋商须知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9</w:t>
      </w:r>
      <w:r>
        <w:rPr>
          <w:rFonts w:hint="eastAsia" w:ascii="仿宋" w:hAnsi="仿宋" w:eastAsia="仿宋" w:cs="仿宋"/>
          <w:bCs/>
          <w:color w:val="000000"/>
          <w:sz w:val="24"/>
          <w:szCs w:val="24"/>
          <w:highlight w:val="none"/>
          <w:lang w:val="zh-CN"/>
        </w:rPr>
        <w:fldChar w:fldCharType="end"/>
      </w:r>
      <w:r>
        <w:rPr>
          <w:rFonts w:hint="eastAsia" w:ascii="仿宋" w:hAnsi="仿宋" w:eastAsia="仿宋" w:cs="仿宋"/>
          <w:color w:val="000000"/>
          <w:sz w:val="24"/>
          <w:szCs w:val="24"/>
          <w:highlight w:val="none"/>
        </w:rPr>
      </w:r>
      <w:r/>
    </w:p>
    <w:p>
      <w:pPr>
        <w:pStyle w:val="962"/>
        <w:spacing w:line="360" w:lineRule="auto"/>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_Toc13232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lang w:val="zh-CN"/>
        </w:rPr>
        <w:t xml:space="preserve">第三章 评标标准</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_Toc13232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rFonts w:hint="eastAsia" w:ascii="仿宋" w:hAnsi="仿宋" w:eastAsia="仿宋" w:cs="仿宋"/>
          <w:color w:val="000000"/>
          <w:sz w:val="24"/>
          <w:szCs w:val="24"/>
          <w:highlight w:val="none"/>
        </w:rPr>
      </w:r>
      <w:r/>
    </w:p>
    <w:p>
      <w:pPr>
        <w:pStyle w:val="962"/>
        <w:spacing w:line="360" w:lineRule="auto"/>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_Toc21939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lang w:val="zh-CN"/>
        </w:rPr>
        <w:t xml:space="preserve">第四章 </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_Toc21939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rFonts w:hint="eastAsia" w:ascii="仿宋" w:hAnsi="仿宋" w:eastAsia="仿宋" w:cs="仿宋"/>
          <w:color w:val="000000"/>
          <w:sz w:val="24"/>
          <w:szCs w:val="24"/>
          <w:highlight w:val="none"/>
        </w:rPr>
      </w:r>
      <w:r/>
    </w:p>
    <w:p>
      <w:pPr>
        <w:pStyle w:val="962"/>
        <w:spacing w:line="360" w:lineRule="auto"/>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_Toc14003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bCs/>
          <w:color w:val="000000"/>
          <w:sz w:val="24"/>
          <w:szCs w:val="24"/>
          <w:highlight w:val="none"/>
        </w:rPr>
        <w:t xml:space="preserve">第五章 </w:t>
      </w:r>
      <w:r>
        <w:rPr>
          <w:rFonts w:hint="eastAsia" w:ascii="仿宋" w:hAnsi="仿宋" w:eastAsia="仿宋" w:cs="仿宋"/>
          <w:bCs/>
          <w:color w:val="000000"/>
          <w:sz w:val="24"/>
          <w:szCs w:val="24"/>
          <w:highlight w:val="none"/>
          <w:lang w:val="zh-CN"/>
        </w:rPr>
        <w:t xml:space="preserve">合同主要条款及格式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_Toc14003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39</w:t>
      </w:r>
      <w:r>
        <w:rPr>
          <w:rFonts w:hint="eastAsia" w:ascii="仿宋" w:hAnsi="仿宋" w:eastAsia="仿宋" w:cs="仿宋"/>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rFonts w:hint="eastAsia" w:ascii="仿宋" w:hAnsi="仿宋" w:eastAsia="仿宋" w:cs="仿宋"/>
          <w:color w:val="000000"/>
          <w:sz w:val="24"/>
          <w:szCs w:val="24"/>
          <w:highlight w:val="none"/>
        </w:rPr>
      </w:r>
      <w:r/>
    </w:p>
    <w:p>
      <w:pPr>
        <w:pStyle w:val="962"/>
        <w:spacing w:line="360" w:lineRule="auto"/>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fldChar w:fldCharType="begin"/>
      </w:r>
      <w:r>
        <w:rPr>
          <w:rFonts w:hint="eastAsia" w:ascii="仿宋" w:hAnsi="仿宋" w:eastAsia="仿宋" w:cs="仿宋"/>
          <w:bCs/>
          <w:color w:val="000000"/>
          <w:sz w:val="24"/>
          <w:szCs w:val="24"/>
          <w:highlight w:val="none"/>
          <w:lang w:val="zh-CN"/>
        </w:rPr>
        <w:instrText xml:space="preserve"> HYPERLINK \l _Toc15502 </w:instrText>
      </w:r>
      <w:r>
        <w:rPr>
          <w:rFonts w:hint="eastAsia" w:ascii="仿宋" w:hAnsi="仿宋" w:eastAsia="仿宋" w:cs="仿宋"/>
          <w:bCs/>
          <w:color w:val="000000"/>
          <w:sz w:val="24"/>
          <w:szCs w:val="24"/>
          <w:highlight w:val="none"/>
          <w:lang w:val="zh-CN"/>
        </w:rPr>
        <w:fldChar w:fldCharType="separate"/>
      </w:r>
      <w:r>
        <w:rPr>
          <w:rFonts w:hint="eastAsia" w:ascii="仿宋" w:hAnsi="仿宋" w:eastAsia="仿宋" w:cs="仿宋"/>
          <w:color w:val="000000"/>
          <w:sz w:val="24"/>
          <w:szCs w:val="24"/>
          <w:highlight w:val="none"/>
          <w:lang w:val="zh-CN"/>
        </w:rPr>
        <w:t xml:space="preserve">第六章 附件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_Toc15502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rPr>
        <w:fldChar w:fldCharType="end"/>
      </w:r>
      <w:r>
        <w:rPr>
          <w:rFonts w:hint="eastAsia" w:ascii="仿宋" w:hAnsi="仿宋" w:eastAsia="仿宋" w:cs="仿宋"/>
          <w:bCs/>
          <w:color w:val="000000"/>
          <w:sz w:val="24"/>
          <w:szCs w:val="24"/>
          <w:highlight w:val="none"/>
          <w:lang w:val="zh-CN"/>
        </w:rPr>
        <w:fldChar w:fldCharType="end"/>
      </w:r>
      <w:r>
        <w:rPr>
          <w:rFonts w:hint="eastAsia" w:ascii="仿宋" w:hAnsi="仿宋" w:eastAsia="仿宋" w:cs="仿宋"/>
          <w:color w:val="000000"/>
          <w:sz w:val="24"/>
          <w:szCs w:val="24"/>
          <w:highlight w:val="none"/>
        </w:rPr>
      </w:r>
      <w:r/>
    </w:p>
    <w:p>
      <w:pPr>
        <w:pStyle w:val="962"/>
        <w:tabs>
          <w:tab w:val="right" w:pos="830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lang w:val="zh-CN"/>
        </w:rPr>
        <w:sectPr>
          <w:footerReference w:type="default" r:id="rId14"/>
          <w:footnotePr/>
          <w:endnotePr/>
          <w:type w:val="nextPage"/>
          <w:pgSz w:w="11906" w:h="16838" w:orient="portrait"/>
          <w:pgMar w:top="1440" w:right="1800" w:bottom="1440" w:left="1800" w:header="851" w:footer="680" w:gutter="0"/>
          <w:cols w:num="1" w:sep="0" w:space="1701" w:equalWidth="1"/>
          <w:docGrid w:linePitch="360"/>
        </w:sectPr>
      </w:pPr>
      <w:r>
        <w:rPr>
          <w:rFonts w:hint="eastAsia" w:ascii="仿宋" w:hAnsi="仿宋" w:eastAsia="仿宋" w:cs="仿宋"/>
          <w:bCs/>
          <w:color w:val="000000"/>
          <w:sz w:val="24"/>
          <w:szCs w:val="24"/>
          <w:highlight w:val="none"/>
          <w:lang w:val="zh-CN"/>
        </w:rPr>
        <w:fldChar w:fldCharType="end"/>
      </w:r>
      <w:r>
        <w:rPr>
          <w:rFonts w:hint="eastAsia" w:ascii="仿宋" w:hAnsi="仿宋" w:eastAsia="仿宋" w:cs="仿宋"/>
          <w:bCs/>
          <w:color w:val="000000"/>
          <w:sz w:val="24"/>
          <w:szCs w:val="24"/>
          <w:highlight w:val="none"/>
          <w:lang w:val="zh-CN"/>
        </w:rPr>
      </w:r>
      <w:r/>
    </w:p>
    <w:p>
      <w:pPr>
        <w:pStyle w:val="982"/>
        <w:spacing w:after="62" w:line="360" w:lineRule="auto"/>
        <w:rPr>
          <w:rFonts w:hint="eastAsia" w:ascii="仿宋" w:hAnsi="仿宋" w:eastAsia="仿宋" w:cs="仿宋"/>
          <w:color w:val="000000"/>
          <w:sz w:val="24"/>
          <w:szCs w:val="24"/>
          <w:highlight w:val="none"/>
        </w:rPr>
      </w:pPr>
      <w:r/>
      <w:bookmarkStart w:id="1" w:name="_Toc18510"/>
      <w:r>
        <w:rPr>
          <w:rFonts w:hint="eastAsia" w:ascii="仿宋" w:hAnsi="仿宋" w:eastAsia="仿宋" w:cs="仿宋"/>
          <w:color w:val="000000"/>
          <w:sz w:val="24"/>
          <w:szCs w:val="24"/>
          <w:highlight w:val="none"/>
          <w:lang w:val="zh-CN"/>
        </w:rPr>
        <w:t xml:space="preserve">第一章 竞争性磋</w:t>
      </w:r>
      <w:bookmarkEnd w:id="1"/>
      <w:r>
        <w:rPr>
          <w:rFonts w:hint="eastAsia" w:ascii="仿宋" w:hAnsi="仿宋" w:eastAsia="仿宋" w:cs="仿宋"/>
          <w:color w:val="000000"/>
          <w:sz w:val="24"/>
          <w:szCs w:val="24"/>
          <w:highlight w:val="none"/>
        </w:rPr>
        <w:t xml:space="preserve">邀请</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bookmarkStart w:id="2" w:name="_Toc45210838"/>
      <w:r/>
      <w:bookmarkStart w:id="3" w:name="_Toc45290267"/>
      <w:r/>
      <w:bookmarkStart w:id="4" w:name="OLE_LINK2"/>
      <w:r/>
      <w:bookmarkStart w:id="5" w:name="OLE_LINK1"/>
      <w:r/>
      <w:bookmarkStart w:id="6" w:name="OLE_LINK3"/>
      <w:r/>
      <w:bookmarkStart w:id="7" w:name="OLE_LINK4"/>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rPr>
        <w:t xml:space="preserve">紫金山实验室</w:t>
      </w:r>
      <w:r>
        <w:rPr>
          <w:rFonts w:hint="eastAsia" w:ascii="仿宋" w:hAnsi="仿宋" w:eastAsia="仿宋" w:cs="仿宋"/>
          <w:color w:val="000000"/>
          <w:sz w:val="24"/>
          <w:szCs w:val="24"/>
          <w:highlight w:val="none"/>
        </w:rPr>
        <w:t xml:space="preserve">（采购单位）委托，</w:t>
      </w:r>
      <w:r>
        <w:rPr>
          <w:rFonts w:hint="eastAsia" w:ascii="仿宋" w:hAnsi="仿宋" w:eastAsia="仿宋" w:cs="仿宋"/>
          <w:color w:val="000000"/>
          <w:sz w:val="24"/>
          <w:szCs w:val="24"/>
          <w:highlight w:val="none"/>
          <w:u w:val="single"/>
        </w:rPr>
        <w:t xml:space="preserve">江苏诚信工程咨询管理有限公司</w:t>
      </w:r>
      <w:r>
        <w:rPr>
          <w:rFonts w:hint="eastAsia" w:ascii="仿宋" w:hAnsi="仿宋" w:eastAsia="仿宋" w:cs="仿宋"/>
          <w:color w:val="000000"/>
          <w:sz w:val="24"/>
          <w:szCs w:val="24"/>
          <w:highlight w:val="none"/>
        </w:rPr>
        <w:t xml:space="preserve">（以下简称“采购代理”）就</w:t>
      </w:r>
      <w:r>
        <w:rPr>
          <w:rFonts w:hint="eastAsia" w:ascii="仿宋" w:hAnsi="仿宋" w:eastAsia="仿宋" w:cs="仿宋"/>
          <w:color w:val="000000"/>
          <w:sz w:val="24"/>
          <w:szCs w:val="24"/>
          <w:highlight w:val="none"/>
          <w:u w:val="single"/>
        </w:rPr>
        <w:t xml:space="preserve">紫金山实验室双紧缩场精装修工程（项目名称）</w:t>
      </w:r>
      <w:r>
        <w:rPr>
          <w:rFonts w:hint="eastAsia" w:ascii="仿宋" w:hAnsi="仿宋" w:eastAsia="仿宋" w:cs="仿宋"/>
          <w:color w:val="000000"/>
          <w:sz w:val="24"/>
          <w:szCs w:val="24"/>
          <w:highlight w:val="none"/>
        </w:rPr>
        <w:t xml:space="preserve">进行竞争性磋商采购，欢迎符合条件的供应商参加磋商。</w:t>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b/>
          <w:color w:val="000000"/>
          <w:spacing w:val="8"/>
          <w:sz w:val="24"/>
          <w:szCs w:val="24"/>
          <w:highlight w:val="none"/>
        </w:rPr>
        <w:outlineLvl w:val="1"/>
      </w:pPr>
      <w:r/>
      <w:bookmarkStart w:id="8" w:name="_Toc2323"/>
      <w:r/>
      <w:bookmarkStart w:id="9" w:name="_Toc10392"/>
      <w:r>
        <w:rPr>
          <w:rFonts w:hint="eastAsia" w:ascii="仿宋" w:hAnsi="仿宋" w:eastAsia="仿宋" w:cs="仿宋"/>
          <w:b/>
          <w:color w:val="000000"/>
          <w:spacing w:val="8"/>
          <w:sz w:val="24"/>
          <w:szCs w:val="24"/>
          <w:highlight w:val="none"/>
        </w:rPr>
        <w:t xml:space="preserve">一、项目基本情况</w:t>
      </w:r>
      <w:bookmarkEnd w:id="2"/>
      <w:r/>
      <w:bookmarkEnd w:id="3"/>
      <w:r/>
      <w:bookmarkEnd w:id="8"/>
      <w:r/>
      <w:bookmarkEnd w:id="9"/>
      <w:r>
        <w:rPr>
          <w:rFonts w:hint="eastAsia" w:ascii="仿宋" w:hAnsi="仿宋" w:eastAsia="仿宋" w:cs="仿宋"/>
          <w:b/>
          <w:color w:val="000000"/>
          <w:spacing w:val="8"/>
          <w:sz w:val="24"/>
          <w:szCs w:val="24"/>
          <w:highlight w:val="none"/>
        </w:rPr>
      </w:r>
      <w:r/>
    </w:p>
    <w:p>
      <w:pPr>
        <w:pStyle w:val="906"/>
        <w:ind w:firstLine="369"/>
        <w:spacing w:line="360" w:lineRule="auto"/>
        <w:shd w:val="clear" w:color="auto" w:fill="ffffff"/>
        <w:widowControl/>
        <w:rPr>
          <w:rFonts w:hint="eastAsia" w:ascii="仿宋" w:hAnsi="仿宋" w:eastAsia="仿宋" w:cs="仿宋"/>
          <w:color w:val="000000"/>
          <w:spacing w:val="8"/>
          <w:sz w:val="24"/>
          <w:szCs w:val="24"/>
          <w:highlight w:val="none"/>
          <w:lang w:eastAsia="zh-CN"/>
        </w:rPr>
      </w:pPr>
      <w:r>
        <w:rPr>
          <w:rFonts w:hint="eastAsia" w:ascii="仿宋" w:hAnsi="仿宋" w:eastAsia="仿宋" w:cs="仿宋"/>
          <w:color w:val="000000"/>
          <w:spacing w:val="8"/>
          <w:sz w:val="24"/>
          <w:szCs w:val="24"/>
          <w:highlight w:val="none"/>
        </w:rPr>
        <w:t xml:space="preserve">项目编号：</w:t>
      </w:r>
      <w:r>
        <w:rPr>
          <w:rFonts w:hint="eastAsia" w:ascii="仿宋" w:hAnsi="仿宋" w:eastAsia="仿宋" w:cs="仿宋"/>
          <w:color w:val="000000"/>
          <w:spacing w:val="8"/>
          <w:sz w:val="24"/>
          <w:szCs w:val="24"/>
          <w:highlight w:val="none"/>
          <w:lang w:eastAsia="zh-CN"/>
        </w:rPr>
        <w:t xml:space="preserve">JSZC-320100-JSCX-C2025-0007</w:t>
      </w:r>
      <w:r>
        <w:rPr>
          <w:rFonts w:hint="eastAsia" w:ascii="仿宋" w:hAnsi="仿宋" w:eastAsia="仿宋" w:cs="仿宋"/>
          <w:color w:val="000000"/>
          <w:spacing w:val="8"/>
          <w:sz w:val="24"/>
          <w:szCs w:val="24"/>
          <w:highlight w:val="none"/>
          <w:lang w:eastAsia="zh-CN"/>
        </w:rPr>
      </w:r>
      <w:r/>
    </w:p>
    <w:p>
      <w:pPr>
        <w:pStyle w:val="906"/>
        <w:ind w:firstLine="369"/>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项目名称：紫金山实验室双紧缩场精装修工程</w:t>
      </w:r>
      <w:r>
        <w:rPr>
          <w:rFonts w:hint="eastAsia" w:ascii="仿宋" w:hAnsi="仿宋" w:eastAsia="仿宋" w:cs="仿宋"/>
          <w:color w:val="000000"/>
          <w:spacing w:val="8"/>
          <w:sz w:val="24"/>
          <w:szCs w:val="24"/>
          <w:highlight w:val="none"/>
        </w:rPr>
      </w:r>
      <w:r/>
    </w:p>
    <w:p>
      <w:pPr>
        <w:pStyle w:val="906"/>
        <w:ind w:firstLine="369"/>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预算金额：人民币</w:t>
      </w:r>
      <w:r>
        <w:rPr>
          <w:rFonts w:ascii="仿宋" w:hAnsi="仿宋" w:eastAsia="仿宋" w:cs="仿宋"/>
          <w:color w:val="000000"/>
          <w:spacing w:val="8"/>
          <w:sz w:val="24"/>
          <w:szCs w:val="24"/>
          <w:highlight w:val="none"/>
        </w:rPr>
        <w:t xml:space="preserve">1743655.38</w:t>
      </w:r>
      <w:r>
        <w:rPr>
          <w:rFonts w:hint="eastAsia" w:ascii="仿宋" w:hAnsi="仿宋" w:eastAsia="仿宋" w:cs="仿宋"/>
          <w:color w:val="000000"/>
          <w:spacing w:val="8"/>
          <w:sz w:val="24"/>
          <w:szCs w:val="24"/>
          <w:highlight w:val="none"/>
        </w:rPr>
        <w:t xml:space="preserve">元</w:t>
      </w:r>
      <w:r>
        <w:rPr>
          <w:rFonts w:hint="eastAsia" w:ascii="仿宋" w:hAnsi="仿宋" w:eastAsia="仿宋" w:cs="仿宋"/>
          <w:color w:val="000000"/>
          <w:spacing w:val="8"/>
          <w:sz w:val="24"/>
          <w:szCs w:val="24"/>
          <w:highlight w:val="none"/>
        </w:rPr>
      </w:r>
      <w:r/>
    </w:p>
    <w:p>
      <w:pPr>
        <w:pStyle w:val="906"/>
        <w:ind w:firstLine="369"/>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最高限价：人民币</w:t>
      </w:r>
      <w:r>
        <w:rPr>
          <w:rFonts w:ascii="仿宋" w:hAnsi="仿宋" w:eastAsia="仿宋" w:cs="仿宋"/>
          <w:color w:val="000000"/>
          <w:spacing w:val="8"/>
          <w:sz w:val="24"/>
          <w:szCs w:val="24"/>
          <w:highlight w:val="none"/>
        </w:rPr>
        <w:t xml:space="preserve">1743655.38</w:t>
      </w:r>
      <w:r>
        <w:rPr>
          <w:rFonts w:hint="eastAsia" w:ascii="仿宋" w:hAnsi="仿宋" w:eastAsia="仿宋" w:cs="仿宋"/>
          <w:color w:val="000000"/>
          <w:spacing w:val="8"/>
          <w:sz w:val="24"/>
          <w:szCs w:val="24"/>
          <w:highlight w:val="none"/>
        </w:rPr>
        <w:t xml:space="preserve">元，投标报价超过最高限价的为无效报价，按照无效投标处理。</w:t>
      </w:r>
      <w:r>
        <w:rPr>
          <w:rFonts w:hint="eastAsia" w:ascii="仿宋" w:hAnsi="仿宋" w:eastAsia="仿宋" w:cs="仿宋"/>
          <w:color w:val="000000"/>
          <w:spacing w:val="8"/>
          <w:sz w:val="24"/>
          <w:szCs w:val="24"/>
          <w:highlight w:val="none"/>
        </w:rPr>
      </w:r>
      <w:r/>
    </w:p>
    <w:p>
      <w:pPr>
        <w:pStyle w:val="906"/>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  </w:t>
      </w:r>
      <w:r>
        <w:rPr>
          <w:rFonts w:hint="eastAsia" w:ascii="仿宋" w:hAnsi="仿宋" w:eastAsia="仿宋" w:cs="仿宋"/>
          <w:color w:val="000000"/>
          <w:spacing w:val="8"/>
          <w:sz w:val="24"/>
          <w:szCs w:val="24"/>
          <w:highlight w:val="none"/>
          <w:lang w:val="en-US" w:eastAsia="zh-CN"/>
        </w:rPr>
        <w:t xml:space="preserve"> </w:t>
      </w:r>
      <w:r>
        <w:rPr>
          <w:rFonts w:hint="eastAsia" w:ascii="仿宋" w:hAnsi="仿宋" w:eastAsia="仿宋" w:cs="仿宋"/>
          <w:color w:val="000000"/>
          <w:spacing w:val="8"/>
          <w:sz w:val="24"/>
          <w:szCs w:val="24"/>
          <w:highlight w:val="none"/>
        </w:rPr>
        <w:t xml:space="preserve">建设内容:紫金山实验室双紧缩场精装修工程项目，具体要求详见竞争性磋商文件、图纸和工程量清单。</w:t>
      </w:r>
      <w:r>
        <w:rPr>
          <w:rFonts w:hint="eastAsia" w:ascii="仿宋" w:hAnsi="仿宋" w:eastAsia="仿宋" w:cs="仿宋"/>
          <w:color w:val="000000"/>
          <w:spacing w:val="8"/>
          <w:sz w:val="24"/>
          <w:szCs w:val="24"/>
          <w:highlight w:val="none"/>
        </w:rPr>
      </w:r>
      <w:r/>
    </w:p>
    <w:p>
      <w:pPr>
        <w:pStyle w:val="906"/>
        <w:ind w:firstLine="369"/>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合同履行期限（工期）：合同签订后75个日历天施工完成并验收合格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pacing w:val="8"/>
          <w:sz w:val="24"/>
          <w:szCs w:val="24"/>
          <w:highlight w:val="none"/>
        </w:rPr>
      </w:r>
      <w:r/>
    </w:p>
    <w:p>
      <w:pPr>
        <w:pStyle w:val="906"/>
        <w:ind w:firstLine="369"/>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本项目（是/否）接受联合体:否</w:t>
      </w:r>
      <w:r>
        <w:rPr>
          <w:rFonts w:hint="eastAsia" w:ascii="仿宋" w:hAnsi="仿宋" w:eastAsia="仿宋" w:cs="仿宋"/>
          <w:color w:val="000000"/>
          <w:spacing w:val="8"/>
          <w:sz w:val="24"/>
          <w:szCs w:val="24"/>
          <w:highlight w:val="none"/>
        </w:rPr>
      </w:r>
      <w:r/>
    </w:p>
    <w:p>
      <w:pPr>
        <w:pStyle w:val="906"/>
        <w:spacing w:line="360" w:lineRule="auto"/>
        <w:shd w:val="clear" w:color="auto" w:fill="ffffff"/>
        <w:widowControl/>
        <w:rPr>
          <w:rFonts w:hint="eastAsia" w:ascii="仿宋" w:hAnsi="仿宋" w:eastAsia="仿宋" w:cs="仿宋"/>
          <w:b/>
          <w:color w:val="000000"/>
          <w:spacing w:val="8"/>
          <w:sz w:val="24"/>
          <w:szCs w:val="24"/>
          <w:highlight w:val="none"/>
        </w:rPr>
        <w:outlineLvl w:val="1"/>
      </w:pPr>
      <w:r/>
      <w:bookmarkStart w:id="10" w:name="_Toc45290268"/>
      <w:r/>
      <w:bookmarkStart w:id="11" w:name="_Toc3626"/>
      <w:r/>
      <w:bookmarkStart w:id="12" w:name="_Toc45210839"/>
      <w:r/>
      <w:bookmarkStart w:id="13" w:name="_Toc15114"/>
      <w:r>
        <w:rPr>
          <w:rFonts w:hint="eastAsia" w:ascii="仿宋" w:hAnsi="仿宋" w:eastAsia="仿宋" w:cs="仿宋"/>
          <w:b/>
          <w:color w:val="000000"/>
          <w:spacing w:val="8"/>
          <w:sz w:val="24"/>
          <w:szCs w:val="24"/>
          <w:highlight w:val="none"/>
        </w:rPr>
        <w:t xml:space="preserve">二、申请人的资格要求：</w:t>
      </w:r>
      <w:bookmarkEnd w:id="10"/>
      <w:r/>
      <w:bookmarkEnd w:id="11"/>
      <w:r/>
      <w:bookmarkEnd w:id="12"/>
      <w:r/>
      <w:bookmarkEnd w:id="13"/>
      <w:r>
        <w:rPr>
          <w:rFonts w:hint="eastAsia" w:ascii="仿宋" w:hAnsi="仿宋" w:eastAsia="仿宋" w:cs="仿宋"/>
          <w:b/>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bookmarkStart w:id="14" w:name="_Toc16014"/>
      <w:r/>
      <w:bookmarkStart w:id="15" w:name="_Toc45290269"/>
      <w:r/>
      <w:bookmarkStart w:id="16" w:name="_Toc45210840"/>
      <w:r/>
      <w:bookmarkStart w:id="17" w:name="_Toc10673"/>
      <w:r>
        <w:rPr>
          <w:rFonts w:hint="eastAsia" w:ascii="仿宋" w:hAnsi="仿宋" w:eastAsia="仿宋" w:cs="仿宋"/>
          <w:bCs/>
          <w:color w:val="000000"/>
          <w:spacing w:val="8"/>
          <w:sz w:val="24"/>
          <w:szCs w:val="24"/>
          <w:highlight w:val="none"/>
        </w:rPr>
        <w:t xml:space="preserve">（一）满足《中华人民共和国政府采购法》第二十二条规定：</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(1)具有独立承担民事责任的能力（提供法人或者其他组织的营业执照等证明材料，供应商为自然人的提供其身份证，复印件加盖电子公章）；</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(2)具有良好的商业信誉和健全的财务会计制度（提供2024年度财务报告，或磋商截止时间前六个月内银行出具的资信证明，或财政部门认可的政府采购专业担保机构出具的投标担保函，复印件加盖电子公章）；</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(3)具有依法缴纳税收和社会保障资金的良好记录（提供参加本次政府采购活动前一年内（至少一个月）依法缴纳税收和完整的社会保障资金的相关材料，复印件加盖电子公章）；</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(4)具有履行合同所必需的设备和专业技术能力（提供承诺书原件）；</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(5)参加政府采购活动前三年内，在经营活动中没有重大违法记录（提供参加本次政府采购活动前 3 年内在经营活动中没有重大违法记录的书面声明的原件）；</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(6)法律、行政法规规定的其他条件：无。</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（二）落实政府采购政策需满足的资格要求：</w:t>
      </w:r>
      <w:r>
        <w:rPr>
          <w:rFonts w:hint="eastAsia" w:ascii="仿宋" w:hAnsi="仿宋" w:eastAsia="仿宋" w:cs="仿宋"/>
          <w:b/>
          <w:bCs w:val="0"/>
          <w:color w:val="000000"/>
          <w:spacing w:val="8"/>
          <w:sz w:val="24"/>
          <w:szCs w:val="24"/>
          <w:highlight w:val="none"/>
        </w:rPr>
        <w:t xml:space="preserve">本项目专门面向中小企业采购，供应商应为中小微企业或监狱企业或残疾人福利性单位。（声明函格式见第六章）</w:t>
      </w:r>
      <w:r>
        <w:rPr>
          <w:rFonts w:hint="eastAsia" w:ascii="仿宋" w:hAnsi="仿宋" w:eastAsia="仿宋" w:cs="仿宋"/>
          <w:b/>
          <w:bCs w:val="0"/>
          <w:color w:val="000000"/>
          <w:spacing w:val="8"/>
          <w:sz w:val="24"/>
          <w:szCs w:val="24"/>
          <w:highlight w:val="none"/>
          <w:lang w:eastAsia="zh-CN"/>
        </w:rPr>
        <w:t xml:space="preserve">。</w:t>
      </w:r>
      <w:r>
        <w:rPr>
          <w:rFonts w:hint="eastAsia" w:ascii="仿宋" w:hAnsi="仿宋" w:eastAsia="仿宋" w:cs="仿宋"/>
          <w:bCs/>
          <w:color w:val="000000"/>
          <w:spacing w:val="8"/>
          <w:sz w:val="24"/>
          <w:szCs w:val="24"/>
          <w:highlight w:val="none"/>
        </w:rPr>
        <w:t xml:space="preserve">（三）本项目的特定资格要求：</w:t>
      </w:r>
      <w:r>
        <w:rPr>
          <w:rFonts w:hint="eastAsia" w:ascii="仿宋" w:hAnsi="仿宋" w:eastAsia="仿宋" w:cs="仿宋"/>
          <w:bCs/>
          <w:color w:val="000000"/>
          <w:spacing w:val="8"/>
          <w:sz w:val="24"/>
          <w:szCs w:val="24"/>
          <w:highlight w:val="none"/>
        </w:rPr>
      </w:r>
      <w:r/>
    </w:p>
    <w:p>
      <w:pPr>
        <w:pStyle w:val="906"/>
        <w:ind w:firstLine="48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zh-CN"/>
        </w:rPr>
        <w:t xml:space="preserve">（1）供应商资质：具有有效的建筑装修装饰工程专业承包二级(含)以上资质，同时具有有效的安全生产许可证。</w:t>
      </w:r>
      <w:r>
        <w:rPr>
          <w:rFonts w:hint="eastAsia" w:ascii="仿宋" w:hAnsi="仿宋" w:eastAsia="仿宋" w:cs="仿宋"/>
          <w:b/>
          <w:bCs/>
          <w:color w:val="000000"/>
          <w:sz w:val="24"/>
          <w:szCs w:val="24"/>
          <w:highlight w:val="none"/>
          <w:lang w:val="zh-CN"/>
        </w:rPr>
        <w:t xml:space="preserve">（提供证书复印件加盖</w:t>
      </w:r>
      <w:r>
        <w:rPr>
          <w:rFonts w:hint="eastAsia" w:ascii="仿宋" w:hAnsi="仿宋" w:eastAsia="仿宋" w:cs="仿宋"/>
          <w:b/>
          <w:bCs/>
          <w:color w:val="000000"/>
          <w:sz w:val="24"/>
          <w:szCs w:val="24"/>
          <w:highlight w:val="none"/>
        </w:rPr>
        <w:t xml:space="preserve">电子</w:t>
      </w:r>
      <w:r>
        <w:rPr>
          <w:rFonts w:hint="eastAsia" w:ascii="仿宋" w:hAnsi="仿宋" w:eastAsia="仿宋" w:cs="仿宋"/>
          <w:b/>
          <w:bCs/>
          <w:color w:val="000000"/>
          <w:sz w:val="24"/>
          <w:szCs w:val="24"/>
          <w:highlight w:val="none"/>
          <w:lang w:val="zh-CN"/>
        </w:rPr>
        <w:t xml:space="preserve">公章）</w:t>
      </w:r>
      <w:r>
        <w:rPr>
          <w:rFonts w:hint="eastAsia" w:ascii="仿宋" w:hAnsi="仿宋" w:eastAsia="仿宋" w:cs="仿宋"/>
          <w:b/>
          <w:bCs/>
          <w:color w:val="000000"/>
          <w:sz w:val="24"/>
          <w:szCs w:val="24"/>
          <w:highlight w:val="none"/>
          <w:lang w:val="zh-CN"/>
        </w:rPr>
      </w:r>
      <w:r/>
    </w:p>
    <w:p>
      <w:pPr>
        <w:pStyle w:val="906"/>
        <w:ind w:firstLine="48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）项目</w:t>
      </w:r>
      <w:r>
        <w:rPr>
          <w:rFonts w:hint="eastAsia" w:ascii="仿宋" w:hAnsi="仿宋" w:eastAsia="仿宋" w:cs="仿宋"/>
          <w:color w:val="000000"/>
          <w:sz w:val="24"/>
          <w:szCs w:val="24"/>
          <w:highlight w:val="none"/>
        </w:rPr>
        <w:t xml:space="preserve">负责人</w:t>
      </w:r>
      <w:r>
        <w:rPr>
          <w:rFonts w:hint="eastAsia" w:ascii="仿宋" w:hAnsi="仿宋" w:eastAsia="仿宋" w:cs="仿宋"/>
          <w:color w:val="000000"/>
          <w:sz w:val="24"/>
          <w:szCs w:val="24"/>
          <w:highlight w:val="none"/>
          <w:lang w:val="zh-CN"/>
        </w:rPr>
        <w:t xml:space="preserve">资质：具有有效的注册建造师证建筑工程二级（含）以上资质及安全生产考核合格证书（B证）；</w:t>
      </w:r>
      <w:r>
        <w:rPr>
          <w:rFonts w:hint="eastAsia" w:ascii="仿宋" w:hAnsi="仿宋" w:eastAsia="仿宋" w:cs="仿宋"/>
          <w:color w:val="000000"/>
          <w:sz w:val="24"/>
          <w:szCs w:val="24"/>
          <w:highlight w:val="none"/>
        </w:rPr>
        <w:t xml:space="preserve">具有</w:t>
      </w:r>
      <w:r>
        <w:rPr>
          <w:rFonts w:hint="eastAsia" w:ascii="仿宋" w:hAnsi="仿宋" w:eastAsia="仿宋" w:cs="仿宋"/>
          <w:color w:val="000000"/>
          <w:sz w:val="24"/>
          <w:szCs w:val="24"/>
          <w:highlight w:val="none"/>
          <w:lang w:val="zh-CN"/>
        </w:rPr>
        <w:t xml:space="preserve">与</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签订的有效劳动合同、社保机构出具的近半年（2025年</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rPr>
        <w:t xml:space="preserve">月-2025年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月）任意一个月投标申请人为其缴纳的完整的社保缴费证明（需明确</w:t>
      </w:r>
      <w:r>
        <w:rPr>
          <w:rFonts w:hint="eastAsia" w:ascii="仿宋" w:hAnsi="仿宋" w:eastAsia="仿宋" w:cs="仿宋"/>
          <w:color w:val="000000"/>
          <w:sz w:val="24"/>
          <w:szCs w:val="24"/>
          <w:highlight w:val="none"/>
        </w:rPr>
        <w:t xml:space="preserve">缴费险种、</w:t>
      </w:r>
      <w:r>
        <w:rPr>
          <w:rFonts w:hint="eastAsia" w:ascii="仿宋" w:hAnsi="仿宋" w:eastAsia="仿宋" w:cs="仿宋"/>
          <w:color w:val="000000"/>
          <w:sz w:val="24"/>
          <w:szCs w:val="24"/>
          <w:highlight w:val="none"/>
          <w:lang w:val="zh-CN"/>
        </w:rPr>
        <w:t xml:space="preserve">缴费月份、个人姓名、缴费单位）材料并加盖社保中心章或社保中心参保缴费证明电子专用章，加盖社保中心参保缴费证明电子专用章的社保材料可视为原件。</w:t>
      </w:r>
      <w:r>
        <w:rPr>
          <w:rFonts w:hint="eastAsia" w:ascii="仿宋" w:hAnsi="仿宋" w:eastAsia="仿宋" w:cs="仿宋"/>
          <w:b/>
          <w:bCs/>
          <w:color w:val="000000"/>
          <w:sz w:val="24"/>
          <w:szCs w:val="24"/>
          <w:highlight w:val="none"/>
          <w:lang w:val="zh-CN"/>
        </w:rPr>
        <w:t xml:space="preserve">（提供证书、合同、社保证明材料复印件并加盖</w:t>
      </w:r>
      <w:r>
        <w:rPr>
          <w:rFonts w:hint="eastAsia" w:ascii="仿宋" w:hAnsi="仿宋" w:eastAsia="仿宋" w:cs="仿宋"/>
          <w:b/>
          <w:bCs/>
          <w:color w:val="000000"/>
          <w:sz w:val="24"/>
          <w:szCs w:val="24"/>
          <w:highlight w:val="none"/>
        </w:rPr>
        <w:t xml:space="preserve">电子</w:t>
      </w:r>
      <w:r>
        <w:rPr>
          <w:rFonts w:hint="eastAsia" w:ascii="仿宋" w:hAnsi="仿宋" w:eastAsia="仿宋" w:cs="仿宋"/>
          <w:b/>
          <w:bCs/>
          <w:color w:val="000000"/>
          <w:sz w:val="24"/>
          <w:szCs w:val="24"/>
          <w:highlight w:val="none"/>
          <w:lang w:val="zh-CN"/>
        </w:rPr>
        <w:t xml:space="preserve">公章）</w:t>
      </w:r>
      <w:r>
        <w:rPr>
          <w:rFonts w:hint="eastAsia" w:ascii="仿宋" w:hAnsi="仿宋" w:eastAsia="仿宋" w:cs="仿宋"/>
          <w:b/>
          <w:bCs/>
          <w:color w:val="000000"/>
          <w:sz w:val="24"/>
          <w:szCs w:val="24"/>
          <w:highlight w:val="none"/>
          <w:lang w:val="zh-CN"/>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注：①根据住房和城乡建设部办公厅关于全面实</w:t>
      </w:r>
      <w:r>
        <w:rPr>
          <w:rFonts w:hint="eastAsia" w:ascii="仿宋" w:hAnsi="仿宋" w:eastAsia="仿宋" w:cs="仿宋"/>
          <w:bCs/>
          <w:color w:val="000000"/>
          <w:spacing w:val="8"/>
          <w:sz w:val="24"/>
          <w:szCs w:val="24"/>
          <w:highlight w:val="none"/>
        </w:rPr>
        <w:t xml:space="preserve">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上传一级建造师证书电子注册证书，电子注册证书应当符合相关文件规定，签名图像应当与持证人个人手写签名笔迹一致，证书应当在使用有效期限内。若上传的电子件无法识别有效信息的，视为无效。供应商将自行承担资格审查不通过等相应后果。</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②根据建办市[2019]50号文及苏建函建管[2019]393号文规定，已取消一级、二级建造师临时执业证书，因此本项目不接受持临时建造师执业资格的项目负责人投标，否则将作为资格审查不通过处理。</w:t>
      </w:r>
      <w:r>
        <w:rPr>
          <w:rFonts w:hint="eastAsia" w:ascii="仿宋" w:hAnsi="仿宋" w:eastAsia="仿宋" w:cs="仿宋"/>
          <w:bCs/>
          <w:color w:val="000000"/>
          <w:spacing w:val="8"/>
          <w:sz w:val="24"/>
          <w:szCs w:val="24"/>
          <w:highlight w:val="none"/>
        </w:rPr>
      </w:r>
      <w:r/>
    </w:p>
    <w:p>
      <w:pPr>
        <w:pStyle w:val="906"/>
        <w:ind w:firstLine="514"/>
        <w:spacing w:line="360" w:lineRule="auto"/>
        <w:shd w:val="clear" w:color="auto" w:fill="ffffff"/>
        <w:widowControl/>
        <w:rPr>
          <w:rFonts w:hint="eastAsia" w:ascii="仿宋" w:hAnsi="仿宋" w:eastAsia="仿宋" w:cs="仿宋"/>
          <w:b/>
          <w:color w:val="000000"/>
          <w:spacing w:val="8"/>
          <w:sz w:val="24"/>
          <w:szCs w:val="24"/>
          <w:highlight w:val="none"/>
        </w:rPr>
        <w:outlineLvl w:val="1"/>
      </w:pPr>
      <w:r>
        <w:rPr>
          <w:rFonts w:hint="eastAsia" w:ascii="仿宋" w:hAnsi="仿宋" w:eastAsia="仿宋" w:cs="仿宋"/>
          <w:b/>
          <w:color w:val="000000"/>
          <w:spacing w:val="8"/>
          <w:sz w:val="24"/>
          <w:szCs w:val="24"/>
          <w:highlight w:val="none"/>
        </w:rPr>
        <w:t xml:space="preserve">（四）拒绝下述供应商参加本次采购活动：</w:t>
      </w:r>
      <w:r>
        <w:rPr>
          <w:rFonts w:hint="eastAsia" w:ascii="仿宋" w:hAnsi="仿宋" w:eastAsia="仿宋" w:cs="仿宋"/>
          <w:b/>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（1）供应商单位负责人为同一人或者存在直接控股、管理关系的不同供应商，不得参加同一合同项下的采购活动</w:t>
      </w:r>
      <w:r>
        <w:rPr>
          <w:rFonts w:hint="eastAsia" w:ascii="仿宋" w:hAnsi="仿宋" w:eastAsia="仿宋" w:cs="仿宋"/>
          <w:b/>
          <w:color w:val="000000"/>
          <w:spacing w:val="8"/>
          <w:sz w:val="24"/>
          <w:szCs w:val="24"/>
          <w:highlight w:val="none"/>
        </w:rPr>
        <w:t xml:space="preserve">（符合并提供承诺书加盖电子公章）</w:t>
      </w:r>
      <w:r>
        <w:rPr>
          <w:rFonts w:hint="eastAsia" w:ascii="仿宋" w:hAnsi="仿宋" w:eastAsia="仿宋" w:cs="仿宋"/>
          <w:bCs/>
          <w:color w:val="000000"/>
          <w:spacing w:val="8"/>
          <w:sz w:val="24"/>
          <w:szCs w:val="24"/>
          <w:highlight w:val="none"/>
        </w:rPr>
        <w:t xml:space="preserve">。 </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（2）凡为采购项目提供整体设计、规范编制或者项目管理、监理、检测等服务的供应商，不得再参加本项目的采购活动</w:t>
      </w:r>
      <w:r>
        <w:rPr>
          <w:rFonts w:hint="eastAsia" w:ascii="仿宋" w:hAnsi="仿宋" w:eastAsia="仿宋" w:cs="仿宋"/>
          <w:b/>
          <w:color w:val="000000"/>
          <w:spacing w:val="8"/>
          <w:sz w:val="24"/>
          <w:szCs w:val="24"/>
          <w:highlight w:val="none"/>
        </w:rPr>
        <w:t xml:space="preserve">（符合并提供承诺书加盖电子公章）</w:t>
      </w:r>
      <w:r>
        <w:rPr>
          <w:rFonts w:hint="eastAsia" w:ascii="仿宋" w:hAnsi="仿宋" w:eastAsia="仿宋" w:cs="仿宋"/>
          <w:bCs/>
          <w:color w:val="000000"/>
          <w:spacing w:val="8"/>
          <w:sz w:val="24"/>
          <w:szCs w:val="24"/>
          <w:highlight w:val="none"/>
        </w:rPr>
        <w:t xml:space="preserve">。 </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（3）被“信用中国”网站(www.creditchina.gov.cn)或中国政府采购网(www.ccgp.gov.cn)列入失信被执行人、重大税收违法失信主体名单、政府采购严重违法失信行为记录名单的</w:t>
      </w:r>
      <w:r>
        <w:rPr>
          <w:rFonts w:hint="eastAsia" w:ascii="仿宋" w:hAnsi="仿宋" w:eastAsia="仿宋" w:cs="仿宋"/>
          <w:b/>
          <w:color w:val="000000"/>
          <w:spacing w:val="8"/>
          <w:sz w:val="24"/>
          <w:szCs w:val="24"/>
          <w:highlight w:val="none"/>
        </w:rPr>
        <w:t xml:space="preserve">（提供以上网站查询截图，截图须体现查询时间，查询有效期为公告发布之日至投标截止时间）</w:t>
      </w:r>
      <w:r>
        <w:rPr>
          <w:rFonts w:hint="eastAsia" w:ascii="仿宋" w:hAnsi="仿宋" w:eastAsia="仿宋" w:cs="仿宋"/>
          <w:bCs/>
          <w:color w:val="000000"/>
          <w:spacing w:val="8"/>
          <w:sz w:val="24"/>
          <w:szCs w:val="24"/>
          <w:highlight w:val="none"/>
        </w:rPr>
        <w:t xml:space="preserve">。</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widowControl/>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（4）资格审查时，若供应商或项目负责人是被红牌、黄牌警示的单位和责任人，并在警示期内，将作资格审查不通过处理</w:t>
      </w:r>
      <w:r>
        <w:rPr>
          <w:rFonts w:hint="eastAsia" w:ascii="仿宋" w:hAnsi="仿宋" w:eastAsia="仿宋" w:cs="仿宋"/>
          <w:b/>
          <w:color w:val="000000"/>
          <w:spacing w:val="8"/>
          <w:sz w:val="24"/>
          <w:szCs w:val="24"/>
          <w:highlight w:val="none"/>
        </w:rPr>
        <w:t xml:space="preserve">（红、黄牌警示信息均以南京市公共资源采购代理网上发布的信息为准）</w:t>
      </w:r>
      <w:r>
        <w:rPr>
          <w:rFonts w:hint="eastAsia" w:ascii="仿宋" w:hAnsi="仿宋" w:eastAsia="仿宋" w:cs="仿宋"/>
          <w:bCs/>
          <w:color w:val="000000"/>
          <w:spacing w:val="8"/>
          <w:sz w:val="24"/>
          <w:szCs w:val="24"/>
          <w:highlight w:val="none"/>
        </w:rPr>
        <w:t xml:space="preserve">。</w:t>
      </w:r>
      <w:r>
        <w:rPr>
          <w:rFonts w:hint="eastAsia" w:ascii="仿宋" w:hAnsi="仿宋" w:eastAsia="仿宋" w:cs="仿宋"/>
          <w:bCs/>
          <w:color w:val="000000"/>
          <w:spacing w:val="8"/>
          <w:sz w:val="24"/>
          <w:szCs w:val="24"/>
          <w:highlight w:val="none"/>
        </w:rPr>
      </w:r>
      <w:r/>
    </w:p>
    <w:p>
      <w:pPr>
        <w:pStyle w:val="906"/>
        <w:ind w:firstLine="512"/>
        <w:spacing w:line="360" w:lineRule="auto"/>
        <w:shd w:val="clear" w:color="auto" w:fill="ffffff"/>
        <w:rPr>
          <w:rFonts w:hint="eastAsia" w:ascii="仿宋" w:hAnsi="仿宋" w:eastAsia="仿宋" w:cs="仿宋"/>
          <w:bCs/>
          <w:color w:val="000000"/>
          <w:spacing w:val="8"/>
          <w:sz w:val="24"/>
          <w:szCs w:val="24"/>
          <w:highlight w:val="none"/>
        </w:rPr>
        <w:outlineLvl w:val="1"/>
      </w:pPr>
      <w:r>
        <w:rPr>
          <w:rFonts w:hint="eastAsia" w:ascii="仿宋" w:hAnsi="仿宋" w:eastAsia="仿宋" w:cs="仿宋"/>
          <w:bCs/>
          <w:color w:val="000000"/>
          <w:spacing w:val="8"/>
          <w:sz w:val="24"/>
          <w:szCs w:val="24"/>
          <w:highlight w:val="none"/>
        </w:rPr>
        <w:t xml:space="preserve">（5）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时由磋商小组对各供应商的资质动态情况进行核查，供应商在投标文件递交截止时间当日，建筑业企业资质动态监管结果处于不合格状态的，作为资格审查不通过处理</w:t>
      </w:r>
      <w:r>
        <w:rPr>
          <w:rFonts w:hint="eastAsia" w:ascii="仿宋" w:hAnsi="仿宋" w:eastAsia="仿宋" w:cs="仿宋"/>
          <w:b/>
          <w:color w:val="000000"/>
          <w:spacing w:val="8"/>
          <w:sz w:val="24"/>
          <w:szCs w:val="24"/>
          <w:highlight w:val="none"/>
        </w:rPr>
        <w:t xml:space="preserve">（企业动态资质查询信息以江苏省建筑市场监管与诚信信息一体化平台发布的信息为准）</w:t>
      </w:r>
      <w:r>
        <w:rPr>
          <w:rFonts w:hint="eastAsia" w:ascii="仿宋" w:hAnsi="仿宋" w:eastAsia="仿宋" w:cs="仿宋"/>
          <w:bCs/>
          <w:color w:val="000000"/>
          <w:spacing w:val="8"/>
          <w:sz w:val="24"/>
          <w:szCs w:val="24"/>
          <w:highlight w:val="none"/>
        </w:rPr>
        <w:t xml:space="preserve">。</w:t>
      </w:r>
      <w:r>
        <w:rPr>
          <w:rFonts w:hint="eastAsia" w:ascii="仿宋" w:hAnsi="仿宋" w:eastAsia="仿宋" w:cs="仿宋"/>
          <w:bCs/>
          <w:color w:val="000000"/>
          <w:spacing w:val="8"/>
          <w:sz w:val="24"/>
          <w:szCs w:val="24"/>
          <w:highlight w:val="none"/>
        </w:rPr>
      </w:r>
      <w:r/>
    </w:p>
    <w:p>
      <w:pPr>
        <w:pStyle w:val="906"/>
        <w:spacing w:line="360" w:lineRule="auto"/>
        <w:shd w:val="clear" w:color="auto" w:fill="ffffff"/>
        <w:rPr>
          <w:rFonts w:hint="eastAsia" w:ascii="仿宋" w:hAnsi="仿宋" w:eastAsia="仿宋" w:cs="仿宋"/>
          <w:b/>
          <w:color w:val="000000"/>
          <w:spacing w:val="8"/>
          <w:sz w:val="24"/>
          <w:szCs w:val="24"/>
          <w:highlight w:val="none"/>
        </w:rPr>
        <w:outlineLvl w:val="1"/>
      </w:pPr>
      <w:r>
        <w:rPr>
          <w:rFonts w:hint="eastAsia" w:ascii="仿宋" w:hAnsi="仿宋" w:eastAsia="仿宋" w:cs="仿宋"/>
          <w:b/>
          <w:color w:val="000000"/>
          <w:spacing w:val="8"/>
          <w:sz w:val="24"/>
          <w:szCs w:val="24"/>
          <w:highlight w:val="none"/>
        </w:rPr>
        <w:t xml:space="preserve">三、获取磋商文件</w:t>
      </w:r>
      <w:bookmarkEnd w:id="14"/>
      <w:r/>
      <w:bookmarkEnd w:id="15"/>
      <w:r/>
      <w:bookmarkEnd w:id="16"/>
      <w:r/>
      <w:bookmarkEnd w:id="17"/>
      <w:r>
        <w:rPr>
          <w:rFonts w:hint="eastAsia" w:ascii="仿宋" w:hAnsi="仿宋" w:eastAsia="仿宋" w:cs="仿宋"/>
          <w:b/>
          <w:color w:val="000000"/>
          <w:spacing w:val="8"/>
          <w:sz w:val="24"/>
          <w:szCs w:val="24"/>
          <w:highlight w:val="none"/>
        </w:rPr>
      </w:r>
      <w:r/>
    </w:p>
    <w:p>
      <w:pPr>
        <w:pStyle w:val="906"/>
        <w:ind w:firstLine="480"/>
        <w:spacing w:line="36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z w:val="24"/>
          <w:szCs w:val="24"/>
          <w:highlight w:val="none"/>
        </w:rPr>
        <w:t xml:space="preserve">时间：自</w:t>
      </w:r>
      <w:r>
        <w:rPr>
          <w:rFonts w:hint="eastAsia" w:ascii="仿宋" w:hAnsi="仿宋" w:eastAsia="仿宋" w:cs="仿宋"/>
          <w:color w:val="000000"/>
          <w:spacing w:val="8"/>
          <w:sz w:val="24"/>
          <w:szCs w:val="24"/>
          <w:highlight w:val="none"/>
        </w:rPr>
        <w:t xml:space="preserve">磋商文件公告发布起5个工作日。</w:t>
      </w:r>
      <w:r>
        <w:rPr>
          <w:rFonts w:hint="eastAsia" w:ascii="仿宋" w:hAnsi="仿宋" w:eastAsia="仿宋" w:cs="仿宋"/>
          <w:color w:val="000000"/>
          <w:spacing w:val="8"/>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方式：在“江苏政府采购网”免费下载。</w:t>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b/>
          <w:color w:val="000000"/>
          <w:spacing w:val="8"/>
          <w:sz w:val="24"/>
          <w:szCs w:val="24"/>
          <w:highlight w:val="none"/>
        </w:rPr>
        <w:outlineLvl w:val="1"/>
      </w:pPr>
      <w:r/>
      <w:bookmarkStart w:id="18" w:name="_Toc11"/>
      <w:r/>
      <w:bookmarkStart w:id="19" w:name="_Toc27848"/>
      <w:r/>
      <w:bookmarkStart w:id="20" w:name="_Toc45210841"/>
      <w:r/>
      <w:bookmarkStart w:id="21" w:name="_Toc45290270"/>
      <w:r>
        <w:rPr>
          <w:rFonts w:hint="eastAsia" w:ascii="仿宋" w:hAnsi="仿宋" w:eastAsia="仿宋" w:cs="仿宋"/>
          <w:b/>
          <w:color w:val="000000"/>
          <w:spacing w:val="8"/>
          <w:sz w:val="24"/>
          <w:szCs w:val="24"/>
          <w:highlight w:val="none"/>
        </w:rPr>
        <w:t xml:space="preserve">四、提交响应文件</w:t>
      </w:r>
      <w:bookmarkEnd w:id="18"/>
      <w:r/>
      <w:bookmarkEnd w:id="19"/>
      <w:r/>
      <w:bookmarkEnd w:id="20"/>
      <w:r/>
      <w:bookmarkEnd w:id="21"/>
      <w:r>
        <w:rPr>
          <w:rFonts w:hint="eastAsia" w:ascii="仿宋" w:hAnsi="仿宋" w:eastAsia="仿宋" w:cs="仿宋"/>
          <w:b/>
          <w:color w:val="000000"/>
          <w:spacing w:val="8"/>
          <w:sz w:val="24"/>
          <w:szCs w:val="24"/>
          <w:highlight w:val="none"/>
        </w:rPr>
        <w:t xml:space="preserve">截止时间</w:t>
      </w:r>
      <w:r>
        <w:rPr>
          <w:rFonts w:hint="eastAsia" w:ascii="仿宋" w:hAnsi="仿宋" w:eastAsia="仿宋" w:cs="仿宋"/>
          <w:b/>
          <w:color w:val="000000"/>
          <w:spacing w:val="8"/>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截止时间：</w:t>
      </w:r>
      <w:r>
        <w:rPr>
          <w:rFonts w:hint="eastAsia" w:ascii="仿宋" w:hAnsi="仿宋" w:eastAsia="仿宋" w:cs="仿宋"/>
          <w:color w:val="000000"/>
          <w:sz w:val="24"/>
          <w:szCs w:val="24"/>
          <w:highlight w:val="none"/>
          <w:lang w:eastAsia="zh-CN"/>
        </w:rPr>
        <w:t xml:space="preserve">2025年11月2</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日09点30分</w:t>
      </w:r>
      <w:r>
        <w:rPr>
          <w:rFonts w:hint="eastAsia" w:ascii="仿宋" w:hAnsi="仿宋" w:eastAsia="仿宋" w:cs="仿宋"/>
          <w:color w:val="000000"/>
          <w:sz w:val="24"/>
          <w:szCs w:val="24"/>
          <w:highlight w:val="none"/>
        </w:rPr>
        <w:t xml:space="preserve"> （北京时间）</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"http://jszfcg.jsczt.cn/）" </w:instrText>
      </w:r>
      <w:r>
        <w:rPr>
          <w:rFonts w:hint="eastAsia" w:ascii="仿宋" w:hAnsi="仿宋" w:eastAsia="仿宋" w:cs="仿宋"/>
          <w:color w:val="000000"/>
          <w:sz w:val="24"/>
          <w:szCs w:val="24"/>
          <w:highlight w:val="none"/>
        </w:rPr>
        <w:fldChar w:fldCharType="separate"/>
      </w:r>
      <w:r>
        <w:rPr>
          <w:rStyle w:val="994"/>
          <w:rFonts w:hint="eastAsia" w:ascii="仿宋" w:hAnsi="仿宋" w:eastAsia="仿宋" w:cs="仿宋"/>
          <w:color w:val="000000"/>
          <w:sz w:val="24"/>
          <w:szCs w:val="24"/>
          <w:highlight w:val="none"/>
          <w:u w:val="none"/>
        </w:rPr>
        <w:t xml:space="preserve">http://jszfcg.jsczt.cn/）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b/>
          <w:color w:val="000000"/>
          <w:spacing w:val="8"/>
          <w:sz w:val="24"/>
          <w:szCs w:val="24"/>
          <w:highlight w:val="none"/>
        </w:rPr>
        <w:outlineLvl w:val="1"/>
      </w:pPr>
      <w:r/>
      <w:bookmarkStart w:id="22" w:name="_Toc15322"/>
      <w:r/>
      <w:bookmarkStart w:id="23" w:name="_Toc17986"/>
      <w:r/>
      <w:bookmarkStart w:id="24" w:name="_Toc45290271"/>
      <w:r/>
      <w:bookmarkStart w:id="25" w:name="_Toc45210842"/>
      <w:r>
        <w:rPr>
          <w:rFonts w:hint="eastAsia" w:ascii="仿宋" w:hAnsi="仿宋" w:eastAsia="仿宋" w:cs="仿宋"/>
          <w:b/>
          <w:color w:val="000000"/>
          <w:spacing w:val="8"/>
          <w:sz w:val="24"/>
          <w:szCs w:val="24"/>
          <w:highlight w:val="none"/>
        </w:rPr>
        <w:t xml:space="preserve">五、开启</w:t>
      </w:r>
      <w:bookmarkEnd w:id="22"/>
      <w:r/>
      <w:bookmarkEnd w:id="23"/>
      <w:r/>
      <w:bookmarkEnd w:id="24"/>
      <w:r/>
      <w:bookmarkEnd w:id="25"/>
      <w:r>
        <w:rPr>
          <w:rFonts w:hint="eastAsia" w:ascii="仿宋" w:hAnsi="仿宋" w:eastAsia="仿宋" w:cs="仿宋"/>
          <w:b/>
          <w:color w:val="000000"/>
          <w:spacing w:val="8"/>
          <w:sz w:val="24"/>
          <w:szCs w:val="24"/>
          <w:highlight w:val="none"/>
        </w:rPr>
      </w:r>
      <w:r/>
    </w:p>
    <w:p>
      <w:pPr>
        <w:pStyle w:val="906"/>
        <w:ind w:firstLine="480"/>
        <w:spacing w:line="36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2025年11月2</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日09点30分</w:t>
      </w:r>
      <w:r>
        <w:rPr>
          <w:rFonts w:hint="eastAsia" w:ascii="仿宋" w:hAnsi="仿宋" w:eastAsia="仿宋" w:cs="仿宋"/>
          <w:color w:val="000000"/>
          <w:spacing w:val="8"/>
          <w:sz w:val="24"/>
          <w:szCs w:val="24"/>
          <w:highlight w:val="none"/>
        </w:rPr>
        <w:t xml:space="preserve">（北京时间）</w:t>
      </w:r>
      <w:r>
        <w:rPr>
          <w:rFonts w:hint="eastAsia" w:ascii="仿宋" w:hAnsi="仿宋" w:eastAsia="仿宋" w:cs="仿宋"/>
          <w:color w:val="000000"/>
          <w:spacing w:val="8"/>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w:t>
      </w:r>
      <w:bookmarkStart w:id="26" w:name="_Toc18237"/>
      <w:r/>
      <w:bookmarkStart w:id="27" w:name="_Toc45290272"/>
      <w:r/>
      <w:bookmarkStart w:id="28" w:name="_Toc45210843"/>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b/>
          <w:color w:val="000000"/>
          <w:spacing w:val="8"/>
          <w:sz w:val="24"/>
          <w:szCs w:val="24"/>
          <w:highlight w:val="none"/>
        </w:rPr>
        <w:outlineLvl w:val="1"/>
      </w:pPr>
      <w:r/>
      <w:bookmarkStart w:id="29" w:name="_Toc14738"/>
      <w:r>
        <w:rPr>
          <w:rFonts w:hint="eastAsia" w:ascii="仿宋" w:hAnsi="仿宋" w:eastAsia="仿宋" w:cs="仿宋"/>
          <w:b/>
          <w:color w:val="000000"/>
          <w:spacing w:val="8"/>
          <w:sz w:val="24"/>
          <w:szCs w:val="24"/>
          <w:highlight w:val="none"/>
        </w:rPr>
        <w:t xml:space="preserve">六、公告期限</w:t>
      </w:r>
      <w:bookmarkEnd w:id="26"/>
      <w:r/>
      <w:bookmarkEnd w:id="27"/>
      <w:r/>
      <w:bookmarkEnd w:id="28"/>
      <w:r/>
      <w:bookmarkEnd w:id="29"/>
      <w:r>
        <w:rPr>
          <w:rFonts w:hint="eastAsia" w:ascii="仿宋" w:hAnsi="仿宋" w:eastAsia="仿宋" w:cs="仿宋"/>
          <w:b/>
          <w:color w:val="000000"/>
          <w:spacing w:val="8"/>
          <w:sz w:val="24"/>
          <w:szCs w:val="24"/>
          <w:highlight w:val="none"/>
        </w:rPr>
      </w:r>
      <w:r/>
    </w:p>
    <w:p>
      <w:pPr>
        <w:pStyle w:val="906"/>
        <w:ind w:firstLine="370"/>
        <w:spacing w:line="360" w:lineRule="auto"/>
        <w:shd w:val="clear" w:color="auto" w:fill="ffffff"/>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自本公告发布之日起3个工作日。</w:t>
      </w:r>
      <w:r>
        <w:rPr>
          <w:rFonts w:hint="eastAsia" w:ascii="仿宋" w:hAnsi="仿宋" w:eastAsia="仿宋" w:cs="仿宋"/>
          <w:color w:val="000000"/>
          <w:spacing w:val="8"/>
          <w:sz w:val="24"/>
          <w:szCs w:val="24"/>
          <w:highlight w:val="none"/>
        </w:rPr>
      </w:r>
      <w:r/>
    </w:p>
    <w:p>
      <w:pPr>
        <w:pStyle w:val="906"/>
        <w:spacing w:line="360" w:lineRule="auto"/>
        <w:shd w:val="clear" w:color="auto" w:fill="ffffff"/>
        <w:widowControl/>
        <w:tabs>
          <w:tab w:val="left" w:pos="426" w:leader="none"/>
        </w:tabs>
        <w:rPr>
          <w:rFonts w:hint="eastAsia" w:ascii="仿宋" w:hAnsi="仿宋" w:eastAsia="仿宋" w:cs="仿宋"/>
          <w:b/>
          <w:color w:val="000000"/>
          <w:spacing w:val="8"/>
          <w:sz w:val="24"/>
          <w:szCs w:val="24"/>
          <w:highlight w:val="none"/>
        </w:rPr>
        <w:outlineLvl w:val="1"/>
      </w:pPr>
      <w:r/>
      <w:bookmarkStart w:id="30" w:name="_Toc31514"/>
      <w:r/>
      <w:bookmarkStart w:id="31" w:name="_Toc22285"/>
      <w:r/>
      <w:bookmarkStart w:id="32" w:name="_Toc45290273"/>
      <w:r/>
      <w:bookmarkStart w:id="33" w:name="_Toc45210844"/>
      <w:r>
        <w:rPr>
          <w:rFonts w:hint="eastAsia" w:ascii="仿宋" w:hAnsi="仿宋" w:eastAsia="仿宋" w:cs="仿宋"/>
          <w:b/>
          <w:color w:val="000000"/>
          <w:spacing w:val="8"/>
          <w:sz w:val="24"/>
          <w:szCs w:val="24"/>
          <w:highlight w:val="none"/>
        </w:rPr>
        <w:t xml:space="preserve">七、其他补充事宜</w:t>
      </w:r>
      <w:bookmarkEnd w:id="30"/>
      <w:r/>
      <w:bookmarkEnd w:id="31"/>
      <w:r/>
      <w:bookmarkEnd w:id="32"/>
      <w:r/>
      <w:bookmarkEnd w:id="33"/>
      <w:r>
        <w:rPr>
          <w:rFonts w:hint="eastAsia" w:ascii="仿宋" w:hAnsi="仿宋" w:eastAsia="仿宋" w:cs="仿宋"/>
          <w:b/>
          <w:color w:val="000000"/>
          <w:spacing w:val="8"/>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bookmarkStart w:id="34" w:name="_Toc45210845"/>
      <w:r/>
      <w:bookmarkStart w:id="35" w:name="_Toc45290274"/>
      <w:r/>
      <w:bookmarkStart w:id="36" w:name="_Toc26121"/>
      <w:r/>
      <w:bookmarkStart w:id="37" w:name="_Toc29797"/>
      <w:r>
        <w:rPr>
          <w:rFonts w:hint="eastAsia" w:ascii="仿宋" w:hAnsi="仿宋" w:eastAsia="仿宋" w:cs="仿宋"/>
          <w:color w:val="000000"/>
          <w:sz w:val="24"/>
          <w:szCs w:val="24"/>
          <w:highlight w:val="none"/>
        </w:rPr>
        <w:t xml:space="preserve">1、根据《关于在政府采购活动中推行信用承诺制的通知》（宁财购通〔2021〕5号）的规定，本项目公告“二、申请人的资格要求（一）项中（2）-（6）”中涉及的证明材料，供应商可以在响应文件中一次性提交，也可以在响应文件中提供满足相应条件的书面承诺书（格式详见采购文件），不再需要提供上述涉及的证明材料。</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供应商仅提供信用承诺书而未提供“二、申请人的资格要求（一）项中 （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不适用信用承诺的情形：</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（一）供应商被列入严重失信主体名单；</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（二）南京市政府采购供应商诚信档案管理系统中诚信档案分在40分以下；</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（三）被相关监管部门作出行政处罚且尚在处罚有效期内；</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（四）其他法律、行政法规规定的不适用信用承诺的情形。</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2、供应商诚信档案注册登记</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rPr>
          <w:rFonts w:hint="eastAsia" w:ascii="仿宋" w:hAnsi="仿宋" w:eastAsia="仿宋" w:cs="仿宋"/>
          <w:color w:val="000000"/>
          <w:sz w:val="24"/>
          <w:szCs w:val="24"/>
          <w:highlight w:val="none"/>
        </w:rPr>
      </w:r>
      <w:r/>
    </w:p>
    <w:p>
      <w:pPr>
        <w:pStyle w:val="906"/>
        <w:numPr>
          <w:ilvl w:val="0"/>
          <w:numId w:val="6"/>
        </w:numPr>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《操作手册》下载地址：http://www.ccgp-jiangsu.gov.cn/jiangsu/zlxz/ee/ee3a4bc5a3454aa2b0d9312230633ce9.html。</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4、本项目不接受进口产品。</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5、本项目不组织现场考察或答疑。</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6、有关本次采购的事项若存在变动或修改，敬请及时关注“江苏政府采购网”发布的信息更正公告。</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苏采云”南京地区客服热线025-83633744、025-83633743）。如供应商未按要求操作，由此所产生的风险由供应商自行承担。</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8、其他要求详见竞争性磋商文件。</w:t>
      </w:r>
      <w:r>
        <w:rPr>
          <w:rFonts w:hint="eastAsia" w:ascii="仿宋" w:hAnsi="仿宋" w:eastAsia="仿宋" w:cs="仿宋"/>
          <w:color w:val="000000"/>
          <w:sz w:val="24"/>
          <w:szCs w:val="24"/>
          <w:highlight w:val="none"/>
        </w:rPr>
      </w:r>
      <w:r/>
    </w:p>
    <w:p>
      <w:pPr>
        <w:pStyle w:val="906"/>
        <w:spacing w:line="360" w:lineRule="auto"/>
        <w:shd w:val="clear" w:color="auto" w:fill="ffffff"/>
        <w:widowControl/>
        <w:tabs>
          <w:tab w:val="left" w:pos="426" w:leader="none"/>
        </w:tabs>
        <w:rPr>
          <w:rFonts w:hint="eastAsia" w:ascii="仿宋" w:hAnsi="仿宋" w:eastAsia="仿宋" w:cs="仿宋"/>
          <w:b/>
          <w:color w:val="000000"/>
          <w:spacing w:val="8"/>
          <w:sz w:val="24"/>
          <w:szCs w:val="24"/>
          <w:highlight w:val="none"/>
        </w:rPr>
        <w:outlineLvl w:val="1"/>
      </w:pPr>
      <w:r>
        <w:rPr>
          <w:rFonts w:hint="eastAsia" w:ascii="仿宋" w:hAnsi="仿宋" w:eastAsia="仿宋" w:cs="仿宋"/>
          <w:b/>
          <w:color w:val="000000"/>
          <w:spacing w:val="8"/>
          <w:sz w:val="24"/>
          <w:szCs w:val="24"/>
          <w:highlight w:val="none"/>
        </w:rPr>
        <w:t xml:space="preserve">八、对本次采购提出询问，请按以下方式联系。</w:t>
      </w:r>
      <w:bookmarkEnd w:id="34"/>
      <w:r/>
      <w:bookmarkEnd w:id="35"/>
      <w:r/>
      <w:bookmarkEnd w:id="36"/>
      <w:r/>
      <w:bookmarkEnd w:id="37"/>
      <w:r>
        <w:rPr>
          <w:rFonts w:hint="eastAsia" w:ascii="仿宋" w:hAnsi="仿宋" w:eastAsia="仿宋" w:cs="仿宋"/>
          <w:b/>
          <w:color w:val="000000"/>
          <w:spacing w:val="8"/>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bookmarkEnd w:id="4"/>
      <w:r/>
      <w:bookmarkEnd w:id="5"/>
      <w:r/>
      <w:bookmarkEnd w:id="6"/>
      <w:r/>
      <w:bookmarkEnd w:id="7"/>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称：紫金山实验室</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址：南京市江宁区秣周东路9号B1栋</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2、采购代理机构信息 </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名    称：江苏诚信工程咨询管理有限公司</w:t>
      </w:r>
      <w:r>
        <w:rPr>
          <w:rFonts w:hint="eastAsia" w:ascii="仿宋" w:hAnsi="仿宋" w:eastAsia="仿宋" w:cs="仿宋"/>
          <w:color w:val="000000"/>
          <w:sz w:val="24"/>
          <w:szCs w:val="24"/>
          <w:highlight w:val="none"/>
          <w:lang w:val="zh-CN"/>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址：南京市鼓楼区龙园西路15号二楼</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人：薛工</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方 式：15896456512　</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3、项目联系方式</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项目联系人：薛工</w:t>
      </w:r>
      <w:r>
        <w:rPr>
          <w:rFonts w:hint="eastAsia" w:ascii="仿宋" w:hAnsi="仿宋" w:eastAsia="仿宋" w:cs="仿宋"/>
          <w:color w:val="000000"/>
          <w:sz w:val="24"/>
          <w:szCs w:val="24"/>
          <w:highlight w:val="none"/>
        </w:rPr>
      </w:r>
      <w:r/>
    </w:p>
    <w:p>
      <w:pPr>
        <w:pStyle w:val="906"/>
        <w:ind w:firstLine="48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联系电话：15896456512　</w:t>
      </w:r>
      <w:r>
        <w:rPr>
          <w:rFonts w:hint="eastAsia" w:ascii="仿宋" w:hAnsi="仿宋" w:eastAsia="仿宋" w:cs="仿宋"/>
          <w:color w:val="000000"/>
          <w:sz w:val="24"/>
          <w:szCs w:val="24"/>
          <w:highlight w:val="none"/>
        </w:rPr>
      </w:r>
      <w:r/>
    </w:p>
    <w:p>
      <w:pPr>
        <w:pStyle w:val="982"/>
        <w:jc w:val="both"/>
        <w:rPr>
          <w:rFonts w:hint="eastAsia" w:ascii="仿宋" w:hAnsi="仿宋" w:eastAsia="仿宋" w:cs="仿宋"/>
          <w:color w:val="000000"/>
          <w:sz w:val="24"/>
          <w:szCs w:val="24"/>
          <w:highlight w:val="none"/>
          <w:lang w:val="zh-CN"/>
        </w:rPr>
      </w:pPr>
      <w:r/>
      <w:bookmarkStart w:id="38" w:name="_Toc19956"/>
      <w:r>
        <w:rPr>
          <w:rFonts w:hint="eastAsia" w:ascii="仿宋" w:hAnsi="仿宋" w:eastAsia="仿宋" w:cs="仿宋"/>
          <w:color w:val="000000"/>
          <w:sz w:val="24"/>
          <w:szCs w:val="24"/>
          <w:highlight w:val="none"/>
          <w:lang w:val="zh-CN"/>
        </w:rPr>
      </w:r>
      <w:r/>
    </w:p>
    <w:p>
      <w:pPr>
        <w:pStyle w:val="982"/>
        <w:jc w:val="both"/>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82"/>
        <w:jc w:val="both"/>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82"/>
        <w:jc w:val="both"/>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r>
      <w:r/>
    </w:p>
    <w:p>
      <w:pPr>
        <w:pStyle w:val="906"/>
        <w:jc w:val="center"/>
        <w:spacing w:line="85" w:lineRule="atLeast"/>
        <w:rPr>
          <w:rFonts w:hint="eastAsia" w:ascii="仿宋" w:hAnsi="仿宋" w:eastAsia="仿宋" w:cs="仿宋"/>
          <w:b/>
          <w:color w:val="000000"/>
          <w:spacing w:val="8"/>
          <w:sz w:val="24"/>
          <w:szCs w:val="24"/>
          <w:highlight w:val="none"/>
        </w:rPr>
      </w:pPr>
      <w:r>
        <w:rPr>
          <w:rFonts w:hint="eastAsia" w:ascii="仿宋" w:hAnsi="仿宋" w:eastAsia="仿宋" w:cs="仿宋"/>
          <w:b/>
          <w:color w:val="000000"/>
          <w:spacing w:val="8"/>
          <w:sz w:val="24"/>
          <w:szCs w:val="24"/>
          <w:highlight w:val="none"/>
        </w:rPr>
        <w:t xml:space="preserve">供应商须知前附表</w:t>
      </w:r>
      <w:r>
        <w:rPr>
          <w:rFonts w:hint="eastAsia" w:ascii="仿宋" w:hAnsi="仿宋" w:eastAsia="仿宋" w:cs="仿宋"/>
          <w:b/>
          <w:color w:val="000000"/>
          <w:spacing w:val="8"/>
          <w:sz w:val="24"/>
          <w:szCs w:val="24"/>
          <w:highlight w:val="none"/>
        </w:rPr>
      </w:r>
      <w:r/>
    </w:p>
    <w:p>
      <w:pPr>
        <w:pStyle w:val="108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322" w:type="dxa"/>
        <w:tblInd w:w="-108" w:type="dxa"/>
        <w:tblLayout w:type="autofit"/>
        <w:tblCellMar>
          <w:left w:w="108" w:type="dxa"/>
          <w:top w:w="0" w:type="dxa"/>
          <w:right w:w="108" w:type="dxa"/>
          <w:bottom w:w="0" w:type="dxa"/>
        </w:tblCellMar>
        <w:tblLook w:val="04A0" w:firstRow="1" w:lastRow="0" w:firstColumn="1" w:lastColumn="0" w:noHBand="0" w:noVBand="1"/>
      </w:tblPr>
      <w:tblGrid>
        <w:gridCol w:w="576"/>
        <w:gridCol w:w="2021"/>
        <w:gridCol w:w="6725"/>
      </w:tblGrid>
      <w:tr>
        <w:trP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序号</w:t>
            </w:r>
            <w:r>
              <w:rPr>
                <w:rFonts w:hint="eastAsia" w:ascii="仿宋" w:hAnsi="仿宋" w:eastAsia="仿宋" w:cs="仿宋"/>
                <w:color w:val="000000"/>
                <w:sz w:val="24"/>
                <w:szCs w:val="24"/>
                <w:highlight w:val="none"/>
                <w:lang w:eastAsia="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项目</w:t>
            </w:r>
            <w:r>
              <w:rPr>
                <w:rFonts w:hint="eastAsia" w:ascii="仿宋" w:hAnsi="仿宋" w:eastAsia="仿宋" w:cs="仿宋"/>
                <w:color w:val="000000"/>
                <w:sz w:val="24"/>
                <w:szCs w:val="24"/>
                <w:highlight w:val="none"/>
                <w:lang w:eastAsia="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具体内容</w:t>
            </w:r>
            <w:r>
              <w:rPr>
                <w:rFonts w:hint="eastAsia" w:ascii="仿宋" w:hAnsi="仿宋" w:eastAsia="仿宋" w:cs="仿宋"/>
                <w:color w:val="000000"/>
                <w:sz w:val="24"/>
                <w:szCs w:val="24"/>
                <w:highlight w:val="none"/>
                <w:lang w:eastAsia="en-US"/>
              </w:rPr>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项目名称</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紫金山实验室双紧缩场精装修工程</w:t>
            </w:r>
            <w:r>
              <w:rPr>
                <w:rFonts w:hint="eastAsia" w:ascii="仿宋" w:hAnsi="仿宋" w:eastAsia="仿宋" w:cs="仿宋"/>
                <w:color w:val="000000"/>
                <w:sz w:val="24"/>
                <w:szCs w:val="24"/>
                <w:highlight w:val="none"/>
              </w:rPr>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采购方式</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竞争性磋商</w:t>
            </w:r>
            <w:r>
              <w:rPr>
                <w:rFonts w:hint="eastAsia" w:ascii="仿宋" w:hAnsi="仿宋" w:eastAsia="仿宋" w:cs="仿宋"/>
                <w:color w:val="000000"/>
                <w:sz w:val="24"/>
                <w:szCs w:val="24"/>
                <w:highlight w:val="none"/>
                <w:lang w:eastAsia="en-US"/>
              </w:rPr>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3</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项目编号</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JSZC-320100-JSCX-C2025-0007</w:t>
            </w:r>
            <w:r>
              <w:rPr>
                <w:rFonts w:hint="eastAsia" w:ascii="仿宋" w:hAnsi="仿宋" w:eastAsia="仿宋" w:cs="仿宋"/>
                <w:color w:val="000000"/>
                <w:sz w:val="24"/>
                <w:szCs w:val="24"/>
                <w:highlight w:val="none"/>
                <w:lang w:eastAsia="zh-CN"/>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4</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分包</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无</w:t>
            </w:r>
            <w:r>
              <w:rPr>
                <w:rFonts w:hint="eastAsia" w:ascii="仿宋" w:hAnsi="仿宋" w:eastAsia="仿宋" w:cs="仿宋"/>
                <w:color w:val="000000"/>
                <w:sz w:val="24"/>
                <w:szCs w:val="24"/>
                <w:highlight w:val="none"/>
                <w:lang w:eastAsia="en-US"/>
              </w:rPr>
            </w:r>
            <w:r/>
          </w:p>
        </w:tc>
      </w:tr>
      <w:tr>
        <w:trPr>
          <w:trHeight w:val="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采购人</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t xml:space="preserve">紫金山实验室</w:t>
            </w:r>
            <w:r>
              <w:rPr>
                <w:rFonts w:hint="eastAsia" w:ascii="仿宋" w:hAnsi="仿宋" w:eastAsia="仿宋" w:cs="仿宋"/>
                <w:color w:val="000000"/>
                <w:sz w:val="24"/>
                <w:szCs w:val="24"/>
                <w:highlight w:val="none"/>
              </w:rPr>
            </w:r>
            <w:r/>
          </w:p>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联系人：陈主任 </w:t>
            </w:r>
            <w:r>
              <w:rPr>
                <w:rFonts w:hint="eastAsia" w:ascii="仿宋" w:hAnsi="仿宋" w:eastAsia="仿宋" w:cs="仿宋"/>
                <w:color w:val="000000"/>
                <w:sz w:val="24"/>
                <w:szCs w:val="24"/>
                <w:highlight w:val="none"/>
              </w:rPr>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采购代理机构</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t xml:space="preserve">江苏诚信工程咨询管理有限公司</w:t>
            </w:r>
            <w:r>
              <w:rPr>
                <w:rFonts w:hint="eastAsia" w:ascii="仿宋" w:hAnsi="仿宋" w:eastAsia="仿宋" w:cs="仿宋"/>
                <w:color w:val="000000"/>
                <w:sz w:val="24"/>
                <w:szCs w:val="24"/>
                <w:highlight w:val="none"/>
              </w:rPr>
            </w:r>
            <w:r/>
          </w:p>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联系人：薛工</w:t>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rPr>
              <w:t xml:space="preserve">15896456512　</w:t>
            </w:r>
            <w:r>
              <w:rPr>
                <w:rFonts w:hint="eastAsia" w:ascii="仿宋" w:hAnsi="仿宋" w:eastAsia="仿宋" w:cs="仿宋"/>
                <w:color w:val="000000"/>
                <w:sz w:val="24"/>
                <w:szCs w:val="24"/>
                <w:highlight w:val="none"/>
              </w:rPr>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7</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最高限价</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1743655.38元，超出此最高限价的报价作无效响应处理。</w:t>
            </w:r>
            <w:r>
              <w:rPr>
                <w:rFonts w:hint="eastAsia" w:ascii="仿宋" w:hAnsi="仿宋" w:eastAsia="仿宋" w:cs="仿宋"/>
                <w:color w:val="000000"/>
                <w:sz w:val="24"/>
                <w:szCs w:val="24"/>
                <w:highlight w:val="none"/>
              </w:rPr>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8</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磋商保证金</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无</w:t>
            </w:r>
            <w:r>
              <w:rPr>
                <w:rFonts w:hint="eastAsia" w:ascii="仿宋" w:hAnsi="仿宋" w:eastAsia="仿宋" w:cs="仿宋"/>
                <w:color w:val="000000"/>
                <w:sz w:val="24"/>
                <w:szCs w:val="24"/>
                <w:highlight w:val="none"/>
                <w:lang w:eastAsia="en-US"/>
              </w:rPr>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9</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磋商文件获取</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详见竞争性磋商公告</w:t>
            </w:r>
            <w:r>
              <w:rPr>
                <w:rFonts w:hint="eastAsia" w:ascii="仿宋" w:hAnsi="仿宋" w:eastAsia="仿宋" w:cs="仿宋"/>
                <w:color w:val="000000"/>
                <w:sz w:val="24"/>
                <w:szCs w:val="24"/>
                <w:highlight w:val="none"/>
                <w:lang w:eastAsia="en-US"/>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10</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勘察现场</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供应商自行勘察，在现场踏勘过程中所发生的一切费用及责任事故均由供应商自行负责。</w:t>
            </w:r>
            <w:r>
              <w:rPr>
                <w:rFonts w:hint="eastAsia" w:ascii="仿宋" w:hAnsi="仿宋" w:eastAsia="仿宋" w:cs="仿宋"/>
                <w:color w:val="000000"/>
                <w:sz w:val="24"/>
                <w:szCs w:val="24"/>
                <w:highlight w:val="none"/>
              </w:rPr>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11</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响应文件接收</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响应文件提交截止时间：2025年1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rPr>
              <w:t xml:space="preserve">日09点30分（北京时间）</w:t>
            </w:r>
            <w:r>
              <w:rPr>
                <w:rFonts w:hint="eastAsia" w:ascii="仿宋" w:hAnsi="仿宋" w:eastAsia="仿宋" w:cs="仿宋"/>
                <w:color w:val="000000"/>
                <w:sz w:val="24"/>
                <w:szCs w:val="24"/>
                <w:highlight w:val="none"/>
              </w:rPr>
            </w:r>
            <w:r/>
          </w:p>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响应文件接收地点：“苏采云”系统。</w:t>
            </w:r>
            <w:r>
              <w:rPr>
                <w:rFonts w:hint="eastAsia" w:ascii="仿宋" w:hAnsi="仿宋" w:eastAsia="仿宋" w:cs="仿宋"/>
                <w:color w:val="000000"/>
                <w:sz w:val="24"/>
                <w:szCs w:val="24"/>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12</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解密要求</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仿宋" w:hAnsi="仿宋" w:eastAsia="仿宋" w:cs="仿宋"/>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13</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磋商时间及地址</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2025年11月2</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日09点30分</w:t>
            </w:r>
            <w:r>
              <w:rPr>
                <w:rFonts w:hint="eastAsia" w:ascii="仿宋" w:hAnsi="仿宋" w:eastAsia="仿宋" w:cs="仿宋"/>
                <w:color w:val="000000"/>
                <w:sz w:val="24"/>
                <w:szCs w:val="24"/>
                <w:highlight w:val="none"/>
              </w:rPr>
              <w:t xml:space="preserve">（北京时间）</w:t>
            </w:r>
            <w:r>
              <w:rPr>
                <w:rFonts w:hint="eastAsia" w:ascii="仿宋" w:hAnsi="仿宋" w:eastAsia="仿宋" w:cs="仿宋"/>
                <w:color w:val="000000"/>
                <w:sz w:val="24"/>
                <w:szCs w:val="24"/>
                <w:highlight w:val="none"/>
              </w:rPr>
            </w:r>
            <w:r/>
          </w:p>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地点：“苏采云”系统。</w:t>
            </w:r>
            <w:r>
              <w:rPr>
                <w:rFonts w:hint="eastAsia" w:ascii="仿宋" w:hAnsi="仿宋" w:eastAsia="仿宋" w:cs="仿宋"/>
                <w:color w:val="000000"/>
                <w:sz w:val="24"/>
                <w:szCs w:val="24"/>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14</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响应文件完整性</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不接受不按要求加盖公章（电子签章）的首次响应文件。电子签章相关要求见“苏采云”系统。</w:t>
            </w:r>
            <w:r>
              <w:rPr>
                <w:rFonts w:hint="eastAsia" w:ascii="仿宋" w:hAnsi="仿宋" w:eastAsia="仿宋" w:cs="仿宋"/>
                <w:color w:val="000000"/>
                <w:sz w:val="24"/>
                <w:szCs w:val="24"/>
                <w:highlight w:val="none"/>
              </w:rPr>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15</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响应文件有效期</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供应商提交响应文件截止之日起90天</w:t>
            </w:r>
            <w:r>
              <w:rPr>
                <w:rFonts w:hint="eastAsia" w:ascii="仿宋" w:hAnsi="仿宋" w:eastAsia="仿宋" w:cs="仿宋"/>
                <w:color w:val="000000"/>
                <w:sz w:val="24"/>
                <w:szCs w:val="24"/>
                <w:highlight w:val="none"/>
              </w:rPr>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16</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关于联合体磋商</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本项目不接受联合体磋商</w:t>
            </w:r>
            <w:r>
              <w:rPr>
                <w:rFonts w:hint="eastAsia" w:ascii="仿宋" w:hAnsi="仿宋" w:eastAsia="仿宋" w:cs="仿宋"/>
                <w:color w:val="000000"/>
                <w:sz w:val="24"/>
                <w:szCs w:val="24"/>
                <w:highlight w:val="none"/>
              </w:rPr>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17</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申请人的资格要求</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详见第一章竞争性磋商公告</w:t>
            </w:r>
            <w:r>
              <w:rPr>
                <w:rFonts w:hint="eastAsia" w:ascii="仿宋" w:hAnsi="仿宋" w:eastAsia="仿宋" w:cs="仿宋"/>
                <w:color w:val="000000"/>
                <w:sz w:val="24"/>
                <w:szCs w:val="24"/>
                <w:highlight w:val="none"/>
              </w:rPr>
            </w:r>
            <w:r/>
          </w:p>
        </w:tc>
      </w:tr>
      <w:tr>
        <w:trPr>
          <w:trHeight w:val="5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18</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磋商文件的澄清或者修改</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仿宋" w:hAnsi="仿宋" w:eastAsia="仿宋" w:cs="仿宋"/>
                <w:color w:val="000000"/>
                <w:sz w:val="24"/>
                <w:szCs w:val="24"/>
                <w:highlight w:val="none"/>
                <w:lang w:eastAsia="en-US"/>
              </w:rPr>
              <w:t xml:space="preserve">具体操作方式见《操作手册》。</w:t>
            </w:r>
            <w:r>
              <w:rPr>
                <w:rFonts w:hint="eastAsia" w:ascii="仿宋" w:hAnsi="仿宋" w:eastAsia="仿宋" w:cs="仿宋"/>
                <w:color w:val="000000"/>
                <w:sz w:val="24"/>
                <w:szCs w:val="24"/>
                <w:highlight w:val="none"/>
                <w:lang w:eastAsia="en-US"/>
              </w:rPr>
            </w:r>
            <w:r/>
          </w:p>
        </w:tc>
      </w:tr>
      <w:tr>
        <w:trPr>
          <w:trHeight w:val="4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19</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不见面交易响应文件制作提交说明</w:t>
            </w:r>
            <w:r>
              <w:rPr>
                <w:rFonts w:hint="eastAsia" w:ascii="仿宋" w:hAnsi="仿宋" w:eastAsia="仿宋" w:cs="仿宋"/>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lang w:eastAsia="en-US"/>
              </w:rPr>
            </w:pPr>
            <w:r>
              <w:rPr>
                <w:rFonts w:hint="eastAsia" w:ascii="仿宋" w:hAnsi="仿宋" w:eastAsia="仿宋" w:cs="仿宋"/>
                <w:b/>
                <w:color w:val="000000"/>
                <w:sz w:val="24"/>
                <w:szCs w:val="24"/>
                <w:highlight w:val="none"/>
                <w:lang w:eastAsia="en-US"/>
              </w:rPr>
              <w:t xml:space="preserve">http：//czj.taizhou.gov.cn/col/col61762/index.html</w:t>
            </w:r>
            <w:r>
              <w:rPr>
                <w:rFonts w:hint="eastAsia" w:ascii="仿宋" w:hAnsi="仿宋" w:eastAsia="仿宋" w:cs="仿宋"/>
                <w:color w:val="000000"/>
                <w:sz w:val="24"/>
                <w:szCs w:val="24"/>
                <w:highlight w:val="none"/>
                <w:lang w:eastAsia="en-US"/>
              </w:rPr>
            </w:r>
            <w:r/>
          </w:p>
        </w:tc>
      </w:tr>
      <w:tr>
        <w:trPr>
          <w:trHeight w:val="1157"/>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20</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报价须知</w:t>
            </w:r>
            <w:r>
              <w:rPr>
                <w:rFonts w:hint="eastAsia" w:ascii="仿宋" w:hAnsi="仿宋" w:eastAsia="仿宋" w:cs="仿宋"/>
                <w:color w:val="000000"/>
                <w:sz w:val="24"/>
                <w:szCs w:val="24"/>
                <w:highlight w:val="none"/>
                <w:lang w:eastAsia="en-US"/>
              </w:rPr>
            </w:r>
            <w:r/>
          </w:p>
        </w:tc>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6725"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本项目采用</w:t>
            </w:r>
            <w:r>
              <w:rPr>
                <w:rFonts w:hint="eastAsia" w:ascii="仿宋" w:hAnsi="仿宋" w:eastAsia="仿宋" w:cs="仿宋"/>
                <w:b/>
                <w:color w:val="000000"/>
                <w:sz w:val="24"/>
                <w:szCs w:val="24"/>
                <w:highlight w:val="none"/>
              </w:rPr>
              <w:t xml:space="preserve">固定单价</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1、结算时如发生结算送审资料漏缺少项目，都将视为供应商的优惠让利行为，不予核增。</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交通协调、施工图深化设计费（如有）以及根据本竞争性磋商文件要求的风险金等全部费用。图纸要求及相关技术标准内的要求须考虑在投标报价中。</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3、供应商报价时应充分考虑所有可能影响到报价的市场风险和价格因素，一旦成交，单价将确定，不予调整。</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高（中）考、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hint="eastAsia" w:ascii="仿宋" w:hAnsi="仿宋" w:eastAsia="仿宋" w:cs="仿宋"/>
                <w:color w:val="000000"/>
                <w:sz w:val="24"/>
                <w:szCs w:val="24"/>
                <w:highlight w:val="none"/>
              </w:rPr>
            </w:r>
            <w:r/>
          </w:p>
        </w:tc>
      </w:tr>
      <w:tr>
        <w:trPr>
          <w:trHeight w:val="8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1" w:type="dxa"/>
            <w:vAlign w:val="center"/>
            <w:textDirection w:val="lrTb"/>
            <w:noWrap w:val="false"/>
          </w:tcPr>
          <w:p>
            <w:pPr>
              <w:pStyle w:val="906"/>
              <w:jc w:val="center"/>
              <w:spacing w:line="85" w:lineRule="atLeast"/>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创建文明工地的约定</w:t>
            </w:r>
            <w:r>
              <w:rPr>
                <w:rFonts w:hint="eastAsia" w:ascii="仿宋" w:hAnsi="仿宋" w:eastAsia="仿宋" w:cs="仿宋"/>
                <w:color w:val="000000"/>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本项目采购人不要求创建市级及以上文明工地，如供应商自行创建的，所增加的费用自理。</w:t>
            </w:r>
            <w:r>
              <w:rPr>
                <w:rFonts w:hint="eastAsia" w:ascii="仿宋" w:hAnsi="仿宋" w:eastAsia="仿宋" w:cs="仿宋"/>
                <w:color w:val="000000"/>
                <w:sz w:val="24"/>
                <w:szCs w:val="24"/>
                <w:highlight w:val="none"/>
              </w:rPr>
            </w:r>
            <w:r/>
          </w:p>
        </w:tc>
      </w:tr>
    </w:tbl>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line="85"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82"/>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第二章 竞争性磋商须知</w:t>
      </w:r>
      <w:bookmarkEnd w:id="38"/>
      <w:r>
        <w:rPr>
          <w:rFonts w:hint="eastAsia" w:ascii="仿宋" w:hAnsi="仿宋" w:eastAsia="仿宋" w:cs="仿宋"/>
          <w:color w:val="000000"/>
          <w:sz w:val="24"/>
          <w:szCs w:val="24"/>
          <w:highlight w:val="none"/>
          <w:lang w:val="zh-CN"/>
        </w:rPr>
      </w:r>
      <w:r/>
    </w:p>
    <w:p>
      <w:pPr>
        <w:pStyle w:val="1084"/>
        <w:ind w:firstLine="465"/>
        <w:jc w:val="left"/>
        <w:spacing w:before="145" w:after="145" w:line="360" w:lineRule="auto"/>
        <w:rPr>
          <w:rFonts w:hint="eastAsia" w:ascii="仿宋" w:hAnsi="仿宋" w:eastAsia="仿宋" w:cs="仿宋"/>
          <w:b w:val="0"/>
          <w:bCs w:val="0"/>
          <w:color w:val="000000"/>
          <w:sz w:val="24"/>
          <w:szCs w:val="24"/>
          <w:highlight w:val="none"/>
        </w:rPr>
      </w:pPr>
      <w:r/>
      <w:bookmarkStart w:id="39" w:name="_Toc20823275"/>
      <w:r/>
      <w:bookmarkStart w:id="40" w:name="_Toc16938519"/>
      <w:r/>
      <w:bookmarkStart w:id="41" w:name="_Toc513029203"/>
      <w:r/>
      <w:bookmarkStart w:id="42" w:name="_Toc120614214"/>
      <w:r>
        <w:rPr>
          <w:rFonts w:hint="eastAsia" w:ascii="仿宋" w:hAnsi="仿宋" w:eastAsia="仿宋" w:cs="仿宋"/>
          <w:b w:val="0"/>
          <w:bCs w:val="0"/>
          <w:color w:val="000000"/>
          <w:sz w:val="24"/>
          <w:szCs w:val="24"/>
          <w:highlight w:val="none"/>
        </w:rPr>
        <w:t xml:space="preserve">一、总则</w:t>
      </w:r>
      <w:bookmarkEnd w:id="39"/>
      <w:r/>
      <w:bookmarkEnd w:id="40"/>
      <w:r/>
      <w:bookmarkEnd w:id="41"/>
      <w:r/>
      <w:bookmarkEnd w:id="42"/>
      <w:r>
        <w:rPr>
          <w:rFonts w:hint="eastAsia" w:ascii="仿宋" w:hAnsi="仿宋" w:eastAsia="仿宋" w:cs="仿宋"/>
          <w:b w:val="0"/>
          <w:bCs w:val="0"/>
          <w:color w:val="000000"/>
          <w:sz w:val="24"/>
          <w:szCs w:val="24"/>
          <w:highlight w:val="none"/>
        </w:rPr>
      </w:r>
      <w:r/>
    </w:p>
    <w:p>
      <w:pPr>
        <w:pStyle w:val="1076"/>
        <w:ind w:firstLine="420"/>
        <w:jc w:val="left"/>
        <w:spacing w:before="0" w:after="0" w:line="360" w:lineRule="auto"/>
        <w:rPr>
          <w:rFonts w:hint="eastAsia" w:ascii="仿宋" w:hAnsi="仿宋" w:eastAsia="仿宋" w:cs="仿宋"/>
          <w:color w:val="000000"/>
          <w:sz w:val="24"/>
          <w:szCs w:val="24"/>
          <w:highlight w:val="none"/>
        </w:rPr>
      </w:pPr>
      <w:r/>
      <w:bookmarkStart w:id="43" w:name="_Hlt16619475"/>
      <w:r/>
      <w:bookmarkEnd w:id="43"/>
      <w:r/>
      <w:bookmarkStart w:id="44" w:name="_Toc458694821"/>
      <w:r/>
      <w:bookmarkStart w:id="45" w:name="_Toc16938520"/>
      <w:r/>
      <w:bookmarkStart w:id="46" w:name="_Toc20823276"/>
      <w:r/>
      <w:bookmarkStart w:id="47" w:name="_Toc513029204"/>
      <w:r>
        <w:rPr>
          <w:rFonts w:hint="eastAsia" w:ascii="仿宋" w:hAnsi="仿宋" w:eastAsia="仿宋" w:cs="仿宋"/>
          <w:color w:val="000000"/>
          <w:sz w:val="24"/>
          <w:szCs w:val="24"/>
          <w:highlight w:val="none"/>
        </w:rPr>
        <w:t xml:space="preserve">1</w:t>
      </w:r>
      <w:bookmarkEnd w:id="44"/>
      <w:r>
        <w:rPr>
          <w:rFonts w:hint="eastAsia" w:ascii="仿宋" w:hAnsi="仿宋" w:eastAsia="仿宋" w:cs="仿宋"/>
          <w:color w:val="000000"/>
          <w:sz w:val="24"/>
          <w:szCs w:val="24"/>
          <w:highlight w:val="none"/>
        </w:rPr>
        <w:t xml:space="preserve">.采购方式</w:t>
      </w:r>
      <w:bookmarkEnd w:id="45"/>
      <w:r/>
      <w:bookmarkEnd w:id="46"/>
      <w:r/>
      <w:bookmarkEnd w:id="47"/>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本次政府采购活动采取竞争性磋商(以下简称“磋商”)方式，本文件仅适用于采购公告中所述项目。</w:t>
      </w:r>
      <w:r>
        <w:rPr>
          <w:rFonts w:hint="eastAsia" w:ascii="仿宋" w:hAnsi="仿宋" w:eastAsia="仿宋" w:cs="仿宋"/>
          <w:color w:val="000000"/>
          <w:sz w:val="24"/>
          <w:szCs w:val="24"/>
          <w:highlight w:val="none"/>
        </w:rPr>
      </w:r>
      <w:r/>
    </w:p>
    <w:p>
      <w:pPr>
        <w:pStyle w:val="1076"/>
        <w:ind w:firstLine="420"/>
        <w:jc w:val="left"/>
        <w:spacing w:before="0" w:after="0" w:line="360" w:lineRule="auto"/>
        <w:rPr>
          <w:rFonts w:hint="eastAsia" w:ascii="仿宋" w:hAnsi="仿宋" w:eastAsia="仿宋" w:cs="仿宋"/>
          <w:color w:val="000000"/>
          <w:sz w:val="24"/>
          <w:szCs w:val="24"/>
          <w:highlight w:val="none"/>
        </w:rPr>
      </w:pPr>
      <w:r/>
      <w:bookmarkStart w:id="48" w:name="_Toc513029205"/>
      <w:r/>
      <w:bookmarkStart w:id="49" w:name="_Toc16938521"/>
      <w:r/>
      <w:bookmarkStart w:id="50" w:name="_Toc20823277"/>
      <w:r>
        <w:rPr>
          <w:rFonts w:hint="eastAsia" w:ascii="仿宋" w:hAnsi="仿宋" w:eastAsia="仿宋" w:cs="仿宋"/>
          <w:color w:val="000000"/>
          <w:sz w:val="24"/>
          <w:szCs w:val="24"/>
          <w:highlight w:val="none"/>
        </w:rPr>
        <w:t xml:space="preserve">2.合格的</w:t>
      </w:r>
      <w:bookmarkEnd w:id="48"/>
      <w:r/>
      <w:bookmarkEnd w:id="49"/>
      <w:r/>
      <w:bookmarkEnd w:id="50"/>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满足采购公告对供应商资格要求的规定。</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满足磋商文件规定的实质性要求和条件。</w:t>
      </w:r>
      <w:r>
        <w:rPr>
          <w:rFonts w:hint="eastAsia" w:ascii="仿宋" w:hAnsi="仿宋" w:eastAsia="仿宋" w:cs="仿宋"/>
          <w:color w:val="000000"/>
          <w:sz w:val="24"/>
          <w:szCs w:val="24"/>
          <w:highlight w:val="none"/>
        </w:rPr>
      </w:r>
      <w:r/>
    </w:p>
    <w:p>
      <w:pPr>
        <w:pStyle w:val="1076"/>
        <w:ind w:firstLine="420"/>
        <w:jc w:val="left"/>
        <w:spacing w:before="0" w:after="0" w:line="360" w:lineRule="auto"/>
        <w:rPr>
          <w:rFonts w:hint="eastAsia" w:ascii="仿宋" w:hAnsi="仿宋" w:eastAsia="仿宋" w:cs="仿宋"/>
          <w:color w:val="000000"/>
          <w:sz w:val="24"/>
          <w:szCs w:val="24"/>
          <w:highlight w:val="none"/>
        </w:rPr>
      </w:pPr>
      <w:r/>
      <w:bookmarkStart w:id="51" w:name="_Toc16938522"/>
      <w:r/>
      <w:bookmarkStart w:id="52" w:name="_Toc513029206"/>
      <w:r/>
      <w:bookmarkStart w:id="53" w:name="_Toc20823278"/>
      <w:r>
        <w:rPr>
          <w:rFonts w:hint="eastAsia" w:ascii="仿宋" w:hAnsi="仿宋" w:eastAsia="仿宋" w:cs="仿宋"/>
          <w:color w:val="000000"/>
          <w:sz w:val="24"/>
          <w:szCs w:val="24"/>
          <w:highlight w:val="none"/>
        </w:rPr>
        <w:t xml:space="preserve">3.适用法律</w:t>
      </w:r>
      <w:bookmarkEnd w:id="51"/>
      <w:r/>
      <w:bookmarkEnd w:id="52"/>
      <w:r/>
      <w:bookmarkEnd w:id="53"/>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本次采购及由此产生的合同受中华人民共和国有关的法律法规制约和保护。</w:t>
      </w:r>
      <w:r>
        <w:rPr>
          <w:rFonts w:hint="eastAsia" w:ascii="仿宋" w:hAnsi="仿宋" w:eastAsia="仿宋" w:cs="仿宋"/>
          <w:color w:val="000000"/>
          <w:sz w:val="24"/>
          <w:szCs w:val="24"/>
          <w:highlight w:val="none"/>
        </w:rPr>
      </w:r>
      <w:r/>
    </w:p>
    <w:p>
      <w:pPr>
        <w:pStyle w:val="1076"/>
        <w:ind w:firstLine="420"/>
        <w:jc w:val="left"/>
        <w:spacing w:before="0" w:after="0" w:line="360" w:lineRule="auto"/>
        <w:rPr>
          <w:rFonts w:hint="eastAsia" w:ascii="仿宋" w:hAnsi="仿宋" w:eastAsia="仿宋" w:cs="仿宋"/>
          <w:color w:val="000000"/>
          <w:sz w:val="24"/>
          <w:szCs w:val="24"/>
          <w:highlight w:val="none"/>
        </w:rPr>
      </w:pPr>
      <w:r/>
      <w:bookmarkStart w:id="54" w:name="_Toc462564067"/>
      <w:r/>
      <w:bookmarkStart w:id="55" w:name="_Toc513029207"/>
      <w:r/>
      <w:bookmarkStart w:id="56" w:name="_Toc16938523"/>
      <w:r/>
      <w:bookmarkStart w:id="57" w:name="_Toc20823279"/>
      <w:r>
        <w:rPr>
          <w:rFonts w:hint="eastAsia" w:ascii="仿宋" w:hAnsi="仿宋" w:eastAsia="仿宋" w:cs="仿宋"/>
          <w:color w:val="000000"/>
          <w:sz w:val="24"/>
          <w:szCs w:val="24"/>
          <w:highlight w:val="none"/>
        </w:rPr>
        <w:t xml:space="preserve">4.磋商费用</w:t>
      </w:r>
      <w:bookmarkEnd w:id="54"/>
      <w:r/>
      <w:bookmarkEnd w:id="55"/>
      <w:r/>
      <w:bookmarkEnd w:id="56"/>
      <w:r/>
      <w:bookmarkEnd w:id="57"/>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供应商应自行承担所有与参加采购有关的费用，无论采购过程中的做法和结果如何，采购代理在任何情况下均无义务和责任承担这些费用。</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本次采购采购代理和采购人不收取磋商文件工本费与成交服务费。</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4.3 招标代理费用</w:t>
      </w:r>
      <w:r>
        <w:rPr>
          <w:rFonts w:hint="eastAsia" w:ascii="仿宋" w:hAnsi="仿宋" w:eastAsia="仿宋" w:cs="仿宋"/>
          <w:color w:val="000000"/>
          <w:sz w:val="24"/>
          <w:szCs w:val="24"/>
          <w:highlight w:val="none"/>
          <w:lang w:val="en-US" w:eastAsia="zh-CN"/>
        </w:rPr>
        <w:t xml:space="preserve">按</w:t>
      </w:r>
      <w:r>
        <w:rPr>
          <w:rFonts w:hint="eastAsia" w:ascii="仿宋" w:hAnsi="仿宋" w:eastAsia="仿宋" w:cs="仿宋"/>
          <w:color w:val="000000"/>
          <w:sz w:val="24"/>
          <w:szCs w:val="24"/>
          <w:highlight w:val="none"/>
        </w:rPr>
        <w:t xml:space="preserve">照《招标代理服务收费管理暂行办法》(计价格[2002]1980号)</w:t>
      </w:r>
      <w:r>
        <w:rPr>
          <w:rFonts w:hint="eastAsia" w:ascii="仿宋" w:hAnsi="仿宋" w:eastAsia="仿宋" w:cs="仿宋"/>
          <w:color w:val="000000"/>
          <w:sz w:val="24"/>
          <w:szCs w:val="24"/>
          <w:highlight w:val="none"/>
          <w:lang w:val="en-US" w:eastAsia="zh-CN"/>
        </w:rPr>
        <w:t xml:space="preserve">的60%</w:t>
      </w:r>
      <w:r>
        <w:rPr>
          <w:rFonts w:hint="eastAsia" w:ascii="仿宋" w:hAnsi="仿宋" w:eastAsia="仿宋" w:cs="仿宋"/>
          <w:color w:val="000000"/>
          <w:sz w:val="24"/>
          <w:szCs w:val="24"/>
          <w:highlight w:val="none"/>
        </w:rPr>
        <w:t xml:space="preserve">支付给代理机构，</w:t>
      </w:r>
      <w:r>
        <w:rPr>
          <w:rFonts w:hint="eastAsia" w:ascii="仿宋" w:hAnsi="仿宋" w:eastAsia="仿宋" w:cs="仿宋"/>
          <w:color w:val="000000"/>
          <w:sz w:val="24"/>
          <w:szCs w:val="24"/>
          <w:highlight w:val="none"/>
          <w:lang w:val="zh-CN"/>
        </w:rPr>
        <w:t xml:space="preserve">该项费用请供应商综合考虑在投标报价中，必须在领取</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val="zh-CN"/>
        </w:rPr>
        <w:t xml:space="preserve">通知书前向招标代理机构支付招标服务费，后期采购人不单独列支。</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专家评审费暂按1000元/人*5人估算，按实例支，项目评审时</w:t>
      </w:r>
      <w:r>
        <w:rPr>
          <w:rFonts w:hint="eastAsia" w:ascii="仿宋" w:hAnsi="仿宋" w:eastAsia="仿宋" w:cs="仿宋"/>
          <w:color w:val="000000"/>
          <w:sz w:val="24"/>
          <w:szCs w:val="24"/>
          <w:highlight w:val="none"/>
          <w:lang w:val="zh-CN"/>
        </w:rPr>
        <w:t xml:space="preserve">由代理机构先行垫付，最终</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val="zh-CN"/>
        </w:rPr>
        <w:t xml:space="preserve">供应商支付，该项费用请供应商综合考虑在投标报价中，后期采购人不单独列支，必须在领取</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val="zh-CN"/>
        </w:rPr>
        <w:t xml:space="preserve">通知书前向招标代理机构支付。</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color w:val="000000"/>
          <w:highlight w:val="none"/>
        </w:rPr>
      </w:pPr>
      <w:r>
        <w:rPr>
          <w:rFonts w:hint="eastAsia" w:ascii="仿宋" w:hAnsi="仿宋" w:eastAsia="仿宋" w:cs="仿宋"/>
          <w:color w:val="000000"/>
          <w:sz w:val="24"/>
          <w:szCs w:val="24"/>
          <w:highlight w:val="none"/>
        </w:rPr>
        <w:t xml:space="preserve">无论是否将上述费用在报价中列明，均视为已含在总价中，税费自理。</w:t>
      </w:r>
      <w:r>
        <w:rPr>
          <w:rFonts w:hint="eastAsia"/>
          <w:color w:val="000000"/>
          <w:highlight w:val="none"/>
        </w:rPr>
      </w:r>
      <w:r/>
    </w:p>
    <w:p>
      <w:pPr>
        <w:pStyle w:val="1076"/>
        <w:ind w:firstLine="482"/>
        <w:jc w:val="left"/>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5.磋商文件的约束力</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供应商一旦参加本项目采购活动，即被认为接受了本文件的规定和约束。</w:t>
      </w:r>
      <w:r>
        <w:rPr>
          <w:rFonts w:hint="eastAsia" w:ascii="仿宋" w:hAnsi="仿宋" w:eastAsia="仿宋" w:cs="仿宋"/>
          <w:color w:val="000000"/>
          <w:sz w:val="24"/>
          <w:szCs w:val="24"/>
          <w:highlight w:val="none"/>
        </w:rPr>
      </w:r>
      <w:r/>
    </w:p>
    <w:p>
      <w:pPr>
        <w:pStyle w:val="1084"/>
        <w:ind w:firstLine="480"/>
        <w:jc w:val="left"/>
        <w:spacing w:before="0" w:after="0" w:line="360" w:lineRule="auto"/>
        <w:rPr>
          <w:rFonts w:hint="eastAsia" w:ascii="仿宋" w:hAnsi="仿宋" w:eastAsia="仿宋" w:cs="仿宋"/>
          <w:b w:val="0"/>
          <w:bCs w:val="0"/>
          <w:color w:val="000000"/>
          <w:sz w:val="24"/>
          <w:szCs w:val="24"/>
          <w:highlight w:val="none"/>
        </w:rPr>
      </w:pPr>
      <w:r/>
      <w:bookmarkStart w:id="58" w:name="_Toc20823281"/>
      <w:r/>
      <w:bookmarkStart w:id="59" w:name="_Toc16938525"/>
      <w:r/>
      <w:bookmarkStart w:id="60" w:name="_Toc120614215"/>
      <w:r/>
      <w:bookmarkStart w:id="61" w:name="_Toc513029209"/>
      <w:r>
        <w:rPr>
          <w:rFonts w:hint="eastAsia" w:ascii="仿宋" w:hAnsi="仿宋" w:eastAsia="仿宋" w:cs="仿宋"/>
          <w:b w:val="0"/>
          <w:bCs w:val="0"/>
          <w:color w:val="000000"/>
          <w:sz w:val="24"/>
          <w:szCs w:val="24"/>
          <w:highlight w:val="none"/>
        </w:rPr>
        <w:t xml:space="preserve">二、</w:t>
      </w:r>
      <w:bookmarkEnd w:id="58"/>
      <w:r/>
      <w:bookmarkEnd w:id="59"/>
      <w:r/>
      <w:bookmarkEnd w:id="60"/>
      <w:r/>
      <w:bookmarkEnd w:id="61"/>
      <w:r>
        <w:rPr>
          <w:rFonts w:hint="eastAsia" w:ascii="仿宋" w:hAnsi="仿宋" w:eastAsia="仿宋" w:cs="仿宋"/>
          <w:b w:val="0"/>
          <w:bCs w:val="0"/>
          <w:color w:val="000000"/>
          <w:sz w:val="24"/>
          <w:szCs w:val="24"/>
          <w:highlight w:val="none"/>
        </w:rPr>
        <w:t xml:space="preserve">磋商文件</w:t>
      </w:r>
      <w:r>
        <w:rPr>
          <w:rFonts w:hint="eastAsia" w:ascii="仿宋" w:hAnsi="仿宋" w:eastAsia="仿宋" w:cs="仿宋"/>
          <w:b w:val="0"/>
          <w:bCs w:val="0"/>
          <w:color w:val="000000"/>
          <w:sz w:val="24"/>
          <w:szCs w:val="24"/>
          <w:highlight w:val="none"/>
        </w:rPr>
      </w:r>
      <w:r/>
    </w:p>
    <w:p>
      <w:pPr>
        <w:pStyle w:val="1076"/>
        <w:ind w:firstLine="482"/>
        <w:jc w:val="left"/>
        <w:spacing w:before="0" w:after="0" w:line="360" w:lineRule="auto"/>
        <w:rPr>
          <w:rFonts w:hint="eastAsia" w:ascii="仿宋" w:hAnsi="仿宋" w:eastAsia="仿宋" w:cs="仿宋"/>
          <w:color w:val="000000"/>
          <w:sz w:val="24"/>
          <w:szCs w:val="24"/>
          <w:highlight w:val="none"/>
        </w:rPr>
      </w:pPr>
      <w:r/>
      <w:bookmarkStart w:id="62" w:name="_Toc20823282"/>
      <w:r/>
      <w:bookmarkStart w:id="63" w:name="_Toc513029210"/>
      <w:r/>
      <w:bookmarkStart w:id="64" w:name="_Toc16938526"/>
      <w:r>
        <w:rPr>
          <w:rFonts w:hint="eastAsia" w:ascii="仿宋" w:hAnsi="仿宋" w:eastAsia="仿宋" w:cs="仿宋"/>
          <w:color w:val="000000"/>
          <w:sz w:val="24"/>
          <w:szCs w:val="24"/>
          <w:highlight w:val="none"/>
        </w:rPr>
        <w:t xml:space="preserve">6.磋商文件构成</w:t>
      </w:r>
      <w:bookmarkEnd w:id="62"/>
      <w:r/>
      <w:bookmarkEnd w:id="63"/>
      <w:r/>
      <w:bookmarkEnd w:id="64"/>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磋商文件由以下部分组成：</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供应商应仔细检查磋商文件是否齐全，如有缺漏请立即与采购代理联系。</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1076"/>
        <w:ind w:firstLine="420"/>
        <w:jc w:val="left"/>
        <w:spacing w:before="0" w:after="0" w:line="360" w:lineRule="auto"/>
        <w:rPr>
          <w:rFonts w:hint="eastAsia" w:ascii="仿宋" w:hAnsi="仿宋" w:eastAsia="仿宋" w:cs="仿宋"/>
          <w:color w:val="000000"/>
          <w:sz w:val="24"/>
          <w:szCs w:val="24"/>
          <w:highlight w:val="none"/>
        </w:rPr>
      </w:pPr>
      <w:r/>
      <w:bookmarkStart w:id="65" w:name="_Toc20823283"/>
      <w:r/>
      <w:bookmarkStart w:id="66" w:name="_Toc513029211"/>
      <w:r/>
      <w:bookmarkStart w:id="67" w:name="_Toc462564070"/>
      <w:r/>
      <w:bookmarkStart w:id="68" w:name="_Toc16938527"/>
      <w:r>
        <w:rPr>
          <w:rFonts w:hint="eastAsia" w:ascii="仿宋" w:hAnsi="仿宋" w:eastAsia="仿宋" w:cs="仿宋"/>
          <w:color w:val="000000"/>
          <w:sz w:val="24"/>
          <w:szCs w:val="24"/>
          <w:highlight w:val="none"/>
        </w:rPr>
        <w:t xml:space="preserve">7.磋商文件的澄清</w:t>
      </w:r>
      <w:bookmarkEnd w:id="65"/>
      <w:r/>
      <w:bookmarkEnd w:id="66"/>
      <w:r/>
      <w:bookmarkEnd w:id="67"/>
      <w:r/>
      <w:bookmarkEnd w:id="68"/>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任何要求对磋商文件进行澄清的供应商，应在磋商截止期五日前按采购公告中的通讯地址，以书面形式通知采购代理。</w:t>
      </w:r>
      <w:r>
        <w:rPr>
          <w:rFonts w:hint="eastAsia" w:ascii="仿宋" w:hAnsi="仿宋" w:eastAsia="仿宋" w:cs="仿宋"/>
          <w:color w:val="000000"/>
          <w:sz w:val="24"/>
          <w:szCs w:val="24"/>
          <w:highlight w:val="none"/>
        </w:rPr>
      </w:r>
      <w:r/>
    </w:p>
    <w:p>
      <w:pPr>
        <w:pStyle w:val="1076"/>
        <w:ind w:firstLine="420"/>
        <w:jc w:val="left"/>
        <w:spacing w:before="0" w:after="0" w:line="360" w:lineRule="auto"/>
        <w:rPr>
          <w:rFonts w:hint="eastAsia" w:ascii="仿宋" w:hAnsi="仿宋" w:eastAsia="仿宋" w:cs="仿宋"/>
          <w:color w:val="000000"/>
          <w:sz w:val="24"/>
          <w:szCs w:val="24"/>
          <w:highlight w:val="none"/>
        </w:rPr>
      </w:pPr>
      <w:r/>
      <w:bookmarkStart w:id="69" w:name="_Toc462564071"/>
      <w:r/>
      <w:bookmarkStart w:id="70" w:name="_Toc20823284"/>
      <w:r/>
      <w:bookmarkStart w:id="71" w:name="_Toc16938528"/>
      <w:r/>
      <w:bookmarkStart w:id="72" w:name="_Toc513029212"/>
      <w:r>
        <w:rPr>
          <w:rFonts w:hint="eastAsia" w:ascii="仿宋" w:hAnsi="仿宋" w:eastAsia="仿宋" w:cs="仿宋"/>
          <w:color w:val="000000"/>
          <w:sz w:val="24"/>
          <w:szCs w:val="24"/>
          <w:highlight w:val="none"/>
        </w:rPr>
        <w:t xml:space="preserve">8.磋商文件的修改</w:t>
      </w:r>
      <w:bookmarkEnd w:id="69"/>
      <w:r/>
      <w:bookmarkEnd w:id="70"/>
      <w:r/>
      <w:bookmarkEnd w:id="71"/>
      <w:r/>
      <w:bookmarkEnd w:id="72"/>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 在响应文件提交截止时间前，采购代理可以对磋商文件进行修改。磋商文件的修改将在原公告媒体发布更正公告，更正内容将作为磋商文件的组成部分，并对供应商具有约束力。</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 采购代理有权按照法定的要求推迟提交响应文件截止时间，并在原公告媒体发布更正公告。</w:t>
      </w:r>
      <w:r>
        <w:rPr>
          <w:rFonts w:hint="eastAsia" w:ascii="仿宋" w:hAnsi="仿宋" w:eastAsia="仿宋" w:cs="仿宋"/>
          <w:color w:val="000000"/>
          <w:sz w:val="24"/>
          <w:szCs w:val="24"/>
          <w:highlight w:val="none"/>
        </w:rPr>
      </w:r>
      <w:r/>
    </w:p>
    <w:p>
      <w:pPr>
        <w:pStyle w:val="1084"/>
        <w:ind w:firstLine="465"/>
        <w:spacing w:before="145" w:after="145"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三、响应文件的编制</w:t>
      </w:r>
      <w:r>
        <w:rPr>
          <w:rFonts w:hint="eastAsia" w:ascii="仿宋" w:hAnsi="仿宋" w:eastAsia="仿宋" w:cs="仿宋"/>
          <w:b w:val="0"/>
          <w:bCs w:val="0"/>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73" w:name="_Toc16938530"/>
      <w:r/>
      <w:bookmarkStart w:id="74" w:name="_Toc20823286"/>
      <w:r/>
      <w:bookmarkStart w:id="75" w:name="_Toc462564073"/>
      <w:r/>
      <w:bookmarkStart w:id="76" w:name="_Toc513029214"/>
      <w:r>
        <w:rPr>
          <w:rFonts w:hint="eastAsia" w:ascii="仿宋" w:hAnsi="仿宋" w:eastAsia="仿宋" w:cs="仿宋"/>
          <w:color w:val="000000"/>
          <w:sz w:val="24"/>
          <w:szCs w:val="24"/>
          <w:highlight w:val="none"/>
        </w:rPr>
        <w:t xml:space="preserve">9.响应文件的语言及度量衡单位</w:t>
      </w:r>
      <w:bookmarkEnd w:id="73"/>
      <w:r/>
      <w:bookmarkEnd w:id="74"/>
      <w:r/>
      <w:bookmarkEnd w:id="75"/>
      <w:r/>
      <w:bookmarkEnd w:id="76"/>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供应商提交的响应文件以及供应商与采购代理就有关磋商的所有来往通知、函件和文件均应使用简体中文。</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除技术性能另有规定外，响应文件所使用的度量衡单位，均须采用国家法定计量单位。</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77" w:name="_Toc462564074"/>
      <w:r/>
      <w:bookmarkStart w:id="78" w:name="_Toc16938531"/>
      <w:r/>
      <w:bookmarkStart w:id="79" w:name="_Toc513029215"/>
      <w:r/>
      <w:bookmarkStart w:id="80" w:name="_Toc20823287"/>
      <w:r>
        <w:rPr>
          <w:rFonts w:hint="eastAsia" w:ascii="仿宋" w:hAnsi="仿宋" w:eastAsia="仿宋" w:cs="仿宋"/>
          <w:color w:val="000000"/>
          <w:sz w:val="24"/>
          <w:szCs w:val="24"/>
          <w:highlight w:val="none"/>
        </w:rPr>
        <w:t xml:space="preserve">10.响应文件构成</w:t>
      </w:r>
      <w:bookmarkEnd w:id="77"/>
      <w:r/>
      <w:bookmarkEnd w:id="78"/>
      <w:r/>
      <w:bookmarkEnd w:id="79"/>
      <w:r/>
      <w:bookmarkEnd w:id="80"/>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供应商编写的响应文件应包括资格证明文件、符合性证明文件、分项报价表、响应及偏离表、其他证明文件、磋商响应函等部分。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如标书制作工具中格式和内容与“江苏政府采购网”发布的磋商文件不一致，以“江苏政府采购网”发布的磋商文件为准。</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81" w:name="_Hlt26668975"/>
      <w:r/>
      <w:bookmarkEnd w:id="81"/>
      <w:r/>
      <w:bookmarkStart w:id="82" w:name="_Hlt26954838"/>
      <w:r/>
      <w:bookmarkEnd w:id="82"/>
      <w:r/>
      <w:bookmarkStart w:id="83" w:name="_Hlt26670360"/>
      <w:r/>
      <w:bookmarkEnd w:id="83"/>
      <w:r/>
      <w:bookmarkStart w:id="84" w:name="_Toc14577357"/>
      <w:r/>
      <w:bookmarkStart w:id="85" w:name="_Toc513029219"/>
      <w:r/>
      <w:bookmarkStart w:id="86" w:name="_Toc49090509"/>
      <w:r/>
      <w:bookmarkStart w:id="87" w:name="_Toc49090507"/>
      <w:r/>
      <w:bookmarkStart w:id="88" w:name="_Toc513029216"/>
      <w:r/>
      <w:bookmarkStart w:id="89" w:name="_Toc14577354"/>
      <w:r/>
      <w:bookmarkStart w:id="90" w:name="_Toc49090508"/>
      <w:r/>
      <w:bookmarkStart w:id="91" w:name="_Toc14577355"/>
      <w:r>
        <w:rPr>
          <w:rFonts w:hint="eastAsia" w:ascii="仿宋" w:hAnsi="仿宋" w:eastAsia="仿宋" w:cs="仿宋"/>
          <w:color w:val="000000"/>
          <w:sz w:val="24"/>
          <w:szCs w:val="24"/>
          <w:highlight w:val="none"/>
        </w:rPr>
        <w:t xml:space="preserve">11.证明磋商响应标的符合磋商文件规定的文件</w:t>
      </w:r>
      <w:bookmarkEnd w:id="84"/>
      <w:r/>
      <w:bookmarkEnd w:id="85"/>
      <w:r/>
      <w:bookmarkEnd w:id="86"/>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bookmarkEnd w:id="87"/>
      <w:r/>
      <w:bookmarkEnd w:id="88"/>
      <w:r/>
      <w:bookmarkEnd w:id="89"/>
      <w:r>
        <w:rPr>
          <w:rFonts w:hint="eastAsia" w:ascii="仿宋" w:hAnsi="仿宋" w:eastAsia="仿宋" w:cs="仿宋"/>
          <w:color w:val="000000"/>
          <w:sz w:val="24"/>
          <w:szCs w:val="24"/>
          <w:highlight w:val="none"/>
        </w:rPr>
        <w:t xml:space="preserve">11.1 供应商应按照法律、法规、规章和规范性文件以及磋商文件要求提交证明文件，证明其响应标的符合磋商文件规定。</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磋商文件对证明文件无明确形式要求的，证明文件可以以文字资料、图纸和数据等形式提交。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End w:id="90"/>
      <w:r/>
      <w:bookmarkEnd w:id="91"/>
      <w:r>
        <w:rPr>
          <w:rFonts w:hint="eastAsia" w:ascii="仿宋" w:hAnsi="仿宋" w:eastAsia="仿宋" w:cs="仿宋"/>
          <w:color w:val="000000"/>
          <w:sz w:val="24"/>
          <w:szCs w:val="24"/>
          <w:highlight w:val="none"/>
        </w:rPr>
        <w:t xml:space="preserve">12.分项报价表</w:t>
      </w:r>
      <w:r>
        <w:rPr>
          <w:rFonts w:hint="eastAsia" w:ascii="仿宋" w:hAnsi="仿宋" w:eastAsia="仿宋" w:cs="仿宋"/>
          <w:color w:val="000000"/>
          <w:sz w:val="24"/>
          <w:szCs w:val="24"/>
          <w:highlight w:val="none"/>
          <w:lang w:val="zh-CN"/>
        </w:rPr>
        <w:t xml:space="preserve">（如有）</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供应商应按照磋商文件规定格式填报分项报价表。</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响应文件中的单价和总价无特殊规定的采用人民币报价，以元为单位标注。磋商文件另有规定的按规定执行。</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92" w:name="_Hlt26954731"/>
      <w:r/>
      <w:bookmarkEnd w:id="92"/>
      <w:r/>
      <w:bookmarkStart w:id="93" w:name="_Hlt26954848"/>
      <w:r/>
      <w:bookmarkEnd w:id="93"/>
      <w:r/>
      <w:bookmarkStart w:id="94" w:name="_Hlt26954846"/>
      <w:r/>
      <w:bookmarkEnd w:id="94"/>
      <w:r/>
      <w:bookmarkStart w:id="95" w:name="_Hlt26670482"/>
      <w:r/>
      <w:bookmarkEnd w:id="95"/>
      <w:r/>
      <w:bookmarkStart w:id="96" w:name="_Hlt26670486"/>
      <w:r/>
      <w:bookmarkEnd w:id="96"/>
      <w:r>
        <w:rPr>
          <w:rFonts w:hint="eastAsia" w:ascii="仿宋" w:hAnsi="仿宋" w:eastAsia="仿宋" w:cs="仿宋"/>
          <w:color w:val="000000"/>
          <w:sz w:val="24"/>
          <w:szCs w:val="24"/>
          <w:highlight w:val="none"/>
        </w:rPr>
        <w:t xml:space="preserve">13.响应及偏离表</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供应商需对磋商文件中的技术要求与商务要求逐项作出响应或偏离说明。</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供应商可在响应文件中提供认为需要的其他技术文件或说明。</w:t>
      </w:r>
      <w:r>
        <w:rPr>
          <w:rFonts w:hint="eastAsia" w:ascii="仿宋" w:hAnsi="仿宋" w:eastAsia="仿宋" w:cs="仿宋"/>
          <w:color w:val="000000"/>
          <w:sz w:val="24"/>
          <w:szCs w:val="24"/>
          <w:highlight w:val="none"/>
          <w:lang w:val="zh-CN"/>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97" w:name="_Toc14577359"/>
      <w:r/>
      <w:bookmarkStart w:id="98" w:name="_Toc49090510"/>
      <w:r>
        <w:rPr>
          <w:rFonts w:hint="eastAsia" w:ascii="仿宋" w:hAnsi="仿宋" w:eastAsia="仿宋" w:cs="仿宋"/>
          <w:color w:val="000000"/>
          <w:sz w:val="24"/>
          <w:szCs w:val="24"/>
          <w:highlight w:val="none"/>
        </w:rPr>
        <w:t xml:space="preserve">14.磋商响应函</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供应商应按照磋商文件规定格式完整、正确填报磋商响应函。</w:t>
      </w:r>
      <w:r>
        <w:rPr>
          <w:rFonts w:hint="eastAsia" w:ascii="仿宋" w:hAnsi="仿宋" w:eastAsia="仿宋" w:cs="仿宋"/>
          <w:color w:val="000000"/>
          <w:sz w:val="24"/>
          <w:szCs w:val="24"/>
          <w:highlight w:val="none"/>
          <w:lang w:val="zh-CN"/>
        </w:rPr>
      </w:r>
      <w:r/>
    </w:p>
    <w:p>
      <w:pPr>
        <w:pStyle w:val="1076"/>
        <w:ind w:firstLine="420"/>
        <w:spacing w:before="0" w:after="0" w:line="360" w:lineRule="auto"/>
        <w:rPr>
          <w:rFonts w:hint="eastAsia" w:ascii="仿宋" w:hAnsi="仿宋" w:eastAsia="仿宋" w:cs="仿宋"/>
          <w:color w:val="000000"/>
          <w:sz w:val="24"/>
          <w:szCs w:val="24"/>
          <w:highlight w:val="none"/>
        </w:rPr>
      </w:pPr>
      <w:r/>
      <w:bookmarkEnd w:id="97"/>
      <w:r/>
      <w:bookmarkEnd w:id="98"/>
      <w:r/>
      <w:bookmarkStart w:id="99" w:name="_Toc49090511"/>
      <w:r/>
      <w:bookmarkStart w:id="100" w:name="_Toc14577360"/>
      <w:r>
        <w:rPr>
          <w:rFonts w:hint="eastAsia" w:ascii="仿宋" w:hAnsi="仿宋" w:eastAsia="仿宋" w:cs="仿宋"/>
          <w:color w:val="000000"/>
          <w:sz w:val="24"/>
          <w:szCs w:val="24"/>
          <w:highlight w:val="none"/>
        </w:rPr>
        <w:t xml:space="preserve">15.磋商有效期</w:t>
      </w:r>
      <w:bookmarkEnd w:id="99"/>
      <w:r/>
      <w:bookmarkEnd w:id="100"/>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 磋商有效期为采购公告规定的提交响应文件截止之日起</w:t>
      </w:r>
      <w:r>
        <w:rPr>
          <w:rFonts w:hint="eastAsia" w:ascii="仿宋" w:hAnsi="仿宋" w:eastAsia="仿宋" w:cs="仿宋"/>
          <w:color w:val="000000"/>
          <w:sz w:val="24"/>
          <w:szCs w:val="24"/>
          <w:highlight w:val="none"/>
          <w:lang w:val="zh-CN"/>
        </w:rPr>
        <w:t xml:space="preserve">六十天</w:t>
      </w:r>
      <w:r>
        <w:rPr>
          <w:rFonts w:hint="eastAsia" w:ascii="仿宋" w:hAnsi="仿宋" w:eastAsia="仿宋" w:cs="仿宋"/>
          <w:color w:val="000000"/>
          <w:sz w:val="24"/>
          <w:szCs w:val="24"/>
          <w:highlight w:val="none"/>
        </w:rPr>
        <w:t xml:space="preserve">。磋商有效期比规定短的将被视为非实质性响应磋商文件而被拒绝。</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16.磋商有效期的延长</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 w:val="24"/>
          <w:szCs w:val="24"/>
          <w:highlight w:val="none"/>
        </w:rPr>
      </w:r>
      <w:r/>
    </w:p>
    <w:p>
      <w:pPr>
        <w:pStyle w:val="1084"/>
        <w:ind w:firstLine="465"/>
        <w:spacing w:before="145" w:after="145" w:line="360" w:lineRule="auto"/>
        <w:rPr>
          <w:rFonts w:hint="eastAsia" w:ascii="仿宋" w:hAnsi="仿宋" w:eastAsia="仿宋" w:cs="仿宋"/>
          <w:b w:val="0"/>
          <w:bCs w:val="0"/>
          <w:color w:val="000000"/>
          <w:sz w:val="24"/>
          <w:szCs w:val="24"/>
          <w:highlight w:val="none"/>
        </w:rPr>
      </w:pPr>
      <w:r/>
      <w:bookmarkStart w:id="101" w:name="_Hlt26954852"/>
      <w:r/>
      <w:bookmarkEnd w:id="101"/>
      <w:r/>
      <w:bookmarkStart w:id="102" w:name="_Hlt26954739"/>
      <w:r/>
      <w:bookmarkEnd w:id="102"/>
      <w:r/>
      <w:bookmarkStart w:id="103" w:name="_Toc16938540"/>
      <w:r/>
      <w:bookmarkStart w:id="104" w:name="_Toc20823296"/>
      <w:r/>
      <w:bookmarkStart w:id="105" w:name="_Toc513029224"/>
      <w:r/>
      <w:bookmarkStart w:id="106" w:name="_Toc120614217"/>
      <w:r>
        <w:rPr>
          <w:rFonts w:hint="eastAsia" w:ascii="仿宋" w:hAnsi="仿宋" w:eastAsia="仿宋" w:cs="仿宋"/>
          <w:b w:val="0"/>
          <w:bCs w:val="0"/>
          <w:color w:val="000000"/>
          <w:sz w:val="24"/>
          <w:szCs w:val="24"/>
          <w:highlight w:val="none"/>
        </w:rPr>
        <w:t xml:space="preserve">四、响应文件的递交</w:t>
      </w:r>
      <w:bookmarkEnd w:id="103"/>
      <w:r/>
      <w:bookmarkEnd w:id="104"/>
      <w:r/>
      <w:bookmarkEnd w:id="105"/>
      <w:r/>
      <w:bookmarkEnd w:id="106"/>
      <w:r>
        <w:rPr>
          <w:rFonts w:hint="eastAsia" w:ascii="仿宋" w:hAnsi="仿宋" w:eastAsia="仿宋" w:cs="仿宋"/>
          <w:b w:val="0"/>
          <w:bCs w:val="0"/>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07" w:name="_Toc462564084"/>
      <w:r/>
      <w:bookmarkStart w:id="108" w:name="_Toc20823297"/>
      <w:r/>
      <w:bookmarkStart w:id="109" w:name="_Toc16938541"/>
      <w:r/>
      <w:bookmarkStart w:id="110" w:name="_Toc513029225"/>
      <w:r>
        <w:rPr>
          <w:rFonts w:hint="eastAsia" w:ascii="仿宋" w:hAnsi="仿宋" w:eastAsia="仿宋" w:cs="仿宋"/>
          <w:color w:val="000000"/>
          <w:sz w:val="24"/>
          <w:szCs w:val="24"/>
          <w:highlight w:val="none"/>
        </w:rPr>
        <w:t xml:space="preserve">17.</w:t>
      </w:r>
      <w:bookmarkEnd w:id="107"/>
      <w:r/>
      <w:bookmarkEnd w:id="108"/>
      <w:r/>
      <w:bookmarkEnd w:id="109"/>
      <w:r/>
      <w:bookmarkEnd w:id="110"/>
      <w:r>
        <w:rPr>
          <w:rFonts w:hint="eastAsia" w:ascii="仿宋" w:hAnsi="仿宋" w:eastAsia="仿宋" w:cs="仿宋"/>
          <w:color w:val="000000"/>
          <w:sz w:val="24"/>
          <w:szCs w:val="24"/>
          <w:highlight w:val="none"/>
        </w:rPr>
        <w:t xml:space="preserve">响应文件的递交</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供应商应当按照《操作手册》规定，在采购公告规定的提交响应文件截止时间前制作并上传电子响应文件。</w:t>
      </w:r>
      <w:bookmarkStart w:id="111" w:name="_Toc20823298"/>
      <w:r/>
      <w:bookmarkStart w:id="112" w:name="_Toc513029226"/>
      <w:r/>
      <w:bookmarkStart w:id="113" w:name="_Toc16938542"/>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bookmarkEnd w:id="111"/>
      <w:r/>
      <w:bookmarkEnd w:id="112"/>
      <w:r/>
      <w:bookmarkEnd w:id="113"/>
      <w:r>
        <w:rPr>
          <w:rFonts w:hint="eastAsia" w:ascii="仿宋" w:hAnsi="仿宋" w:eastAsia="仿宋" w:cs="仿宋"/>
          <w:color w:val="000000"/>
          <w:sz w:val="24"/>
          <w:szCs w:val="24"/>
          <w:highlight w:val="none"/>
        </w:rPr>
        <w:t xml:space="preserve">17.2 供应商应充分考虑网络环境、网络带宽等因素可能产生的影响，如因供应商自身原因造成的电子响应文件上传不成功的，按照本磋商文件第二章第24.3条规定做无效响应处理。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 采购代理可以按照规定，通过修改磋商文件酌情延长提交响应文件截止日期，在此情况下，供应商的所有权利和义务均以延长后新的截止日期为准。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14" w:name="_Toc20823299"/>
      <w:r/>
      <w:bookmarkStart w:id="115" w:name="_Toc513029227"/>
      <w:r/>
      <w:bookmarkStart w:id="116" w:name="_Toc16938543"/>
      <w:r>
        <w:rPr>
          <w:rFonts w:hint="eastAsia" w:ascii="仿宋" w:hAnsi="仿宋" w:eastAsia="仿宋" w:cs="仿宋"/>
          <w:color w:val="000000"/>
          <w:sz w:val="24"/>
          <w:szCs w:val="24"/>
          <w:highlight w:val="none"/>
        </w:rPr>
        <w:t xml:space="preserve">18.响应文件</w:t>
      </w:r>
      <w:bookmarkEnd w:id="114"/>
      <w:r/>
      <w:bookmarkEnd w:id="115"/>
      <w:r/>
      <w:bookmarkEnd w:id="116"/>
      <w:r>
        <w:rPr>
          <w:rFonts w:hint="eastAsia" w:ascii="仿宋" w:hAnsi="仿宋" w:eastAsia="仿宋" w:cs="仿宋"/>
          <w:color w:val="000000"/>
          <w:sz w:val="24"/>
          <w:szCs w:val="24"/>
          <w:highlight w:val="none"/>
        </w:rPr>
        <w:t xml:space="preserve">的拒收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提交响应文件截止时间后上传的任何响应文件将被拒绝。</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17" w:name="_Toc16938544"/>
      <w:r/>
      <w:bookmarkStart w:id="118" w:name="_Toc20823300"/>
      <w:r/>
      <w:bookmarkStart w:id="119" w:name="_Toc513029228"/>
      <w:r>
        <w:rPr>
          <w:rFonts w:hint="eastAsia" w:ascii="仿宋" w:hAnsi="仿宋" w:eastAsia="仿宋" w:cs="仿宋"/>
          <w:color w:val="000000"/>
          <w:sz w:val="24"/>
          <w:szCs w:val="24"/>
          <w:highlight w:val="none"/>
        </w:rPr>
        <w:t xml:space="preserve">19.响应文件的撤回和修改</w:t>
      </w:r>
      <w:bookmarkEnd w:id="117"/>
      <w:r/>
      <w:bookmarkEnd w:id="118"/>
      <w:r/>
      <w:bookmarkEnd w:id="119"/>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 响应文件的撤回</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19.1.1 供应商可在提交响应文件截止时间前，撤回其电子响应文件，具体操作方法见《操作手册》。</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19.1.2 供应商撤回电子响应文件，则认为其不再参与本项目磋商活动。</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 响应文件的修改</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19.2.1 供应商可在提交响应文件截止时间前，对其电子响应文件进行修改，具体操作方法见《操作手册》。</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19.2.2 提交响应文件截止时间之后，供应商不得对其电子响应文件作任何修改。</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 在提交响应文件截止时间至磋商文件中规定的磋商有效期满之间的这段时间内，供应商不得撤回其响应文件。</w:t>
      </w:r>
      <w:r>
        <w:rPr>
          <w:rFonts w:hint="eastAsia" w:ascii="仿宋" w:hAnsi="仿宋" w:eastAsia="仿宋" w:cs="仿宋"/>
          <w:color w:val="000000"/>
          <w:sz w:val="24"/>
          <w:szCs w:val="24"/>
          <w:highlight w:val="none"/>
        </w:rPr>
      </w:r>
      <w:r/>
    </w:p>
    <w:p>
      <w:pPr>
        <w:pStyle w:val="1084"/>
        <w:ind w:firstLine="465"/>
        <w:spacing w:before="145" w:after="145" w:line="360" w:lineRule="auto"/>
        <w:rPr>
          <w:rFonts w:hint="eastAsia" w:ascii="仿宋" w:hAnsi="仿宋" w:eastAsia="仿宋" w:cs="仿宋"/>
          <w:b w:val="0"/>
          <w:bCs w:val="0"/>
          <w:color w:val="000000"/>
          <w:sz w:val="24"/>
          <w:szCs w:val="24"/>
          <w:highlight w:val="none"/>
        </w:rPr>
      </w:pPr>
      <w:r/>
      <w:bookmarkStart w:id="120" w:name="_Toc513029229"/>
      <w:r/>
      <w:bookmarkStart w:id="121" w:name="_Toc16938545"/>
      <w:r/>
      <w:bookmarkStart w:id="122" w:name="_Toc20823301"/>
      <w:r/>
      <w:bookmarkStart w:id="123" w:name="_Toc120614218"/>
      <w:r>
        <w:rPr>
          <w:rFonts w:hint="eastAsia" w:ascii="仿宋" w:hAnsi="仿宋" w:eastAsia="仿宋" w:cs="仿宋"/>
          <w:b w:val="0"/>
          <w:bCs w:val="0"/>
          <w:color w:val="000000"/>
          <w:sz w:val="24"/>
          <w:szCs w:val="24"/>
          <w:highlight w:val="none"/>
        </w:rPr>
        <w:t xml:space="preserve">五、响应文件的解密与评审</w:t>
      </w:r>
      <w:bookmarkEnd w:id="120"/>
      <w:r/>
      <w:bookmarkEnd w:id="121"/>
      <w:r/>
      <w:bookmarkEnd w:id="122"/>
      <w:r/>
      <w:bookmarkEnd w:id="123"/>
      <w:r>
        <w:rPr>
          <w:rFonts w:hint="eastAsia" w:ascii="仿宋" w:hAnsi="仿宋" w:eastAsia="仿宋" w:cs="仿宋"/>
          <w:b w:val="0"/>
          <w:bCs w:val="0"/>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24" w:name="_Toc513029230"/>
      <w:r/>
      <w:bookmarkStart w:id="125" w:name="_Toc20823302"/>
      <w:r/>
      <w:bookmarkStart w:id="126" w:name="_Toc16938546"/>
      <w:r>
        <w:rPr>
          <w:rFonts w:hint="eastAsia" w:ascii="仿宋" w:hAnsi="仿宋" w:eastAsia="仿宋" w:cs="仿宋"/>
          <w:color w:val="000000"/>
          <w:sz w:val="24"/>
          <w:szCs w:val="24"/>
          <w:highlight w:val="none"/>
        </w:rPr>
        <w:t xml:space="preserve">2</w:t>
      </w:r>
      <w:bookmarkEnd w:id="124"/>
      <w:r/>
      <w:bookmarkEnd w:id="125"/>
      <w:r/>
      <w:bookmarkEnd w:id="126"/>
      <w:r>
        <w:rPr>
          <w:rFonts w:hint="eastAsia" w:ascii="仿宋" w:hAnsi="仿宋" w:eastAsia="仿宋" w:cs="仿宋"/>
          <w:color w:val="000000"/>
          <w:sz w:val="24"/>
          <w:szCs w:val="24"/>
          <w:highlight w:val="none"/>
        </w:rPr>
        <w:t xml:space="preserve">0.响应文件解密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供应商应当按照《操作手册》规定，在苏采云系统规定的时间内对响应文件进行解密。</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27" w:name="_Toc16938547"/>
      <w:r/>
      <w:bookmarkStart w:id="128" w:name="_Toc20823303"/>
      <w:r/>
      <w:bookmarkStart w:id="129" w:name="_Toc513029231"/>
      <w:r>
        <w:rPr>
          <w:rFonts w:hint="eastAsia" w:ascii="仿宋" w:hAnsi="仿宋" w:eastAsia="仿宋" w:cs="仿宋"/>
          <w:color w:val="000000"/>
          <w:sz w:val="24"/>
          <w:szCs w:val="24"/>
          <w:highlight w:val="none"/>
        </w:rPr>
        <w:t xml:space="preserve">21.磋商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依法组建的磋商小组对响应文件进行评审。</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磋商小组由采购人代表和有关方面的专家组成，人员构成符合政府采购有关规定。</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 磋商小组独立工作，负责评审所有响应文件并推荐成交候选人，或根据采购人授权直接确定成交供应商。</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22.评审过程的保密与公正</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bookmarkEnd w:id="127"/>
      <w:r/>
      <w:bookmarkEnd w:id="128"/>
      <w:r/>
      <w:bookmarkEnd w:id="129"/>
      <w:r>
        <w:rPr>
          <w:rFonts w:hint="eastAsia" w:ascii="仿宋" w:hAnsi="仿宋" w:eastAsia="仿宋" w:cs="仿宋"/>
          <w:color w:val="000000"/>
          <w:sz w:val="24"/>
          <w:szCs w:val="24"/>
          <w:highlight w:val="none"/>
        </w:rPr>
        <w:t xml:space="preserve">22.1 磋商小组、采购人和采购代理工作人员、相关监督人员等与评审工作有关的人员，对评审情况以及在评审过程中获悉的国家秘密、商业秘密负有保密责任。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 供应商不得以任何方式影响评审过程，否则其响应文件将被作为无效响应文件。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 在评审期间，代理机构将设专门工作人员与供应商联系。</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22.4</w:t>
      </w:r>
      <w:r>
        <w:rPr>
          <w:rFonts w:hint="eastAsia" w:ascii="仿宋" w:hAnsi="仿宋" w:eastAsia="仿宋" w:cs="仿宋"/>
          <w:color w:val="000000"/>
          <w:sz w:val="24"/>
          <w:szCs w:val="24"/>
          <w:highlight w:val="none"/>
        </w:rPr>
        <w:t xml:space="preserve">采购代理和磋商小组不向未成交的供应商解释未成交原因，也不公布评审过程中的相关细节。</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30" w:name="_Toc513029232"/>
      <w:r/>
      <w:bookmarkStart w:id="131" w:name="_Toc20823304"/>
      <w:r/>
      <w:bookmarkStart w:id="132" w:name="_Toc16938548"/>
      <w:r>
        <w:rPr>
          <w:rFonts w:hint="eastAsia" w:ascii="仿宋" w:hAnsi="仿宋" w:eastAsia="仿宋" w:cs="仿宋"/>
          <w:color w:val="000000"/>
          <w:sz w:val="24"/>
          <w:szCs w:val="24"/>
          <w:highlight w:val="none"/>
        </w:rPr>
        <w:t xml:space="preserve">23.评审过程中的澄清</w:t>
      </w:r>
      <w:bookmarkEnd w:id="130"/>
      <w:r/>
      <w:bookmarkEnd w:id="131"/>
      <w:r/>
      <w:bookmarkEnd w:id="132"/>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供应商的澄清、说明或者补正不得超出响应文件的范围或者改变响应文件的实质性内容。</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磋商小组并非对每个供应商都做澄清要求。</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 需要供应商进行澄清、说明和补正的，磋商小组将通过苏采云系统向供应商发出</w:t>
      </w:r>
      <w:r>
        <w:rPr>
          <w:rFonts w:hint="eastAsia" w:ascii="仿宋" w:hAnsi="仿宋" w:eastAsia="仿宋" w:cs="仿宋"/>
          <w:color w:val="000000"/>
          <w:sz w:val="24"/>
          <w:szCs w:val="24"/>
          <w:highlight w:val="none"/>
          <w:lang w:val="zh-CN"/>
        </w:rPr>
        <w:t xml:space="preserve">《澄清要求函》</w:t>
      </w:r>
      <w:r>
        <w:rPr>
          <w:rFonts w:hint="eastAsia" w:ascii="仿宋" w:hAnsi="仿宋" w:eastAsia="仿宋" w:cs="仿宋"/>
          <w:color w:val="000000"/>
          <w:sz w:val="24"/>
          <w:szCs w:val="24"/>
          <w:highlight w:val="none"/>
        </w:rPr>
        <w:t xml:space="preserve">，接到</w:t>
      </w:r>
      <w:r>
        <w:rPr>
          <w:rFonts w:hint="eastAsia" w:ascii="仿宋" w:hAnsi="仿宋" w:eastAsia="仿宋" w:cs="仿宋"/>
          <w:color w:val="000000"/>
          <w:sz w:val="24"/>
          <w:szCs w:val="24"/>
          <w:highlight w:val="none"/>
          <w:lang w:val="zh-CN"/>
        </w:rPr>
        <w:t xml:space="preserve">《澄清要求函》</w:t>
      </w:r>
      <w:r>
        <w:rPr>
          <w:rFonts w:hint="eastAsia" w:ascii="仿宋" w:hAnsi="仿宋" w:eastAsia="仿宋" w:cs="仿宋"/>
          <w:color w:val="000000"/>
          <w:sz w:val="24"/>
          <w:szCs w:val="24"/>
          <w:highlight w:val="none"/>
        </w:rPr>
        <w:t xml:space="preserve">的供应商应当按照要求在苏采云系统中提交</w:t>
      </w:r>
      <w:r>
        <w:rPr>
          <w:rFonts w:hint="eastAsia" w:ascii="仿宋" w:hAnsi="仿宋" w:eastAsia="仿宋" w:cs="仿宋"/>
          <w:color w:val="000000"/>
          <w:sz w:val="24"/>
          <w:szCs w:val="24"/>
          <w:highlight w:val="none"/>
          <w:lang w:val="zh-CN"/>
        </w:rPr>
        <w:t xml:space="preserve">《澄清响应函》</w:t>
      </w:r>
      <w:r>
        <w:rPr>
          <w:rFonts w:hint="eastAsia" w:ascii="仿宋" w:hAnsi="仿宋" w:eastAsia="仿宋" w:cs="仿宋"/>
          <w:color w:val="000000"/>
          <w:sz w:val="24"/>
          <w:szCs w:val="24"/>
          <w:highlight w:val="none"/>
        </w:rPr>
        <w:t xml:space="preserve">并加盖电子公章。澄清、说明和补正的内容作为响应文件的补充部分，具体操作方式见《操作手册》。</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 接到磋商小组澄清、说明和补正要求的供应商如未按规定做出澄清、说明和补正，其风险由供应商自行承担。</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33" w:name="_Toc16938549"/>
      <w:r/>
      <w:bookmarkStart w:id="134" w:name="_Toc513029233"/>
      <w:r/>
      <w:bookmarkStart w:id="135" w:name="_Toc20823305"/>
      <w:r>
        <w:rPr>
          <w:rFonts w:hint="eastAsia" w:ascii="仿宋" w:hAnsi="仿宋" w:eastAsia="仿宋" w:cs="仿宋"/>
          <w:color w:val="000000"/>
          <w:sz w:val="24"/>
          <w:szCs w:val="24"/>
          <w:highlight w:val="none"/>
        </w:rPr>
        <w:t xml:space="preserve">24.响应文件的审</w:t>
      </w:r>
      <w:bookmarkEnd w:id="133"/>
      <w:r/>
      <w:bookmarkEnd w:id="134"/>
      <w:r/>
      <w:bookmarkEnd w:id="135"/>
      <w:r>
        <w:rPr>
          <w:rFonts w:hint="eastAsia" w:ascii="仿宋" w:hAnsi="仿宋" w:eastAsia="仿宋" w:cs="仿宋"/>
          <w:color w:val="000000"/>
          <w:sz w:val="24"/>
          <w:szCs w:val="24"/>
          <w:highlight w:val="none"/>
        </w:rPr>
        <w:t xml:space="preserve">查</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 响应文件审查分为资格审查和符合性审查。</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 资格审查。依据法律法规和磋商文件的规定，磋商小组对响应文件中的资格证明文件进行审查，以确定供应商是否具备参加磋商的资格。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w:t>
      </w:r>
      <w:r>
        <w:rPr>
          <w:rFonts w:hint="eastAsia" w:ascii="仿宋" w:hAnsi="仿宋" w:eastAsia="仿宋" w:cs="仿宋"/>
          <w:color w:val="000000"/>
          <w:sz w:val="24"/>
          <w:szCs w:val="24"/>
          <w:highlight w:val="none"/>
        </w:rPr>
        <w:t xml:space="preserve">信</w:t>
      </w:r>
      <w:r>
        <w:rPr>
          <w:rFonts w:hint="eastAsia" w:ascii="仿宋" w:hAnsi="仿宋" w:eastAsia="仿宋" w:cs="仿宋"/>
          <w:color w:val="000000"/>
          <w:sz w:val="24"/>
          <w:szCs w:val="24"/>
          <w:highlight w:val="none"/>
          <w:lang w:val="zh-CN"/>
        </w:rPr>
        <w:t xml:space="preserve">用记录。</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 未通过资格审查或符合性审查的供应商，磋商小组将通过苏采云系统告知具体原因，评审结束后将不再接受有关询问。</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000000"/>
          <w:sz w:val="24"/>
          <w:szCs w:val="24"/>
          <w:highlight w:val="none"/>
        </w:rPr>
        <w:t xml:space="preserve">由</w:t>
      </w:r>
      <w:r>
        <w:rPr>
          <w:rFonts w:hint="eastAsia" w:ascii="仿宋" w:hAnsi="仿宋" w:eastAsia="仿宋" w:cs="仿宋"/>
          <w:color w:val="000000"/>
          <w:sz w:val="24"/>
          <w:szCs w:val="24"/>
          <w:highlight w:val="none"/>
          <w:lang w:val="zh-CN"/>
        </w:rPr>
        <w:t xml:space="preserve">磋商小组</w:t>
      </w:r>
      <w:r>
        <w:rPr>
          <w:rFonts w:hint="eastAsia" w:ascii="仿宋" w:hAnsi="仿宋" w:eastAsia="仿宋" w:cs="仿宋"/>
          <w:color w:val="000000"/>
          <w:sz w:val="24"/>
          <w:szCs w:val="24"/>
          <w:highlight w:val="none"/>
        </w:rPr>
        <w:t xml:space="preserve">按照</w:t>
      </w:r>
      <w:r>
        <w:rPr>
          <w:rFonts w:hint="eastAsia" w:ascii="仿宋" w:hAnsi="仿宋" w:eastAsia="仿宋" w:cs="仿宋"/>
          <w:color w:val="000000"/>
          <w:sz w:val="24"/>
          <w:szCs w:val="24"/>
          <w:highlight w:val="none"/>
          <w:lang w:val="zh-CN"/>
        </w:rPr>
        <w:t xml:space="preserve">少数服从多数的原则作出结论。</w:t>
      </w:r>
      <w:r>
        <w:rPr>
          <w:rFonts w:hint="eastAsia" w:ascii="仿宋" w:hAnsi="仿宋" w:eastAsia="仿宋" w:cs="仿宋"/>
          <w:color w:val="000000"/>
          <w:sz w:val="24"/>
          <w:szCs w:val="24"/>
          <w:highlight w:val="none"/>
        </w:rPr>
        <w:t xml:space="preserve">磋商小组认</w:t>
      </w:r>
      <w:r>
        <w:rPr>
          <w:rFonts w:hint="eastAsia" w:ascii="仿宋" w:hAnsi="仿宋" w:eastAsia="仿宋" w:cs="仿宋"/>
          <w:color w:val="000000"/>
          <w:sz w:val="24"/>
          <w:szCs w:val="24"/>
          <w:highlight w:val="none"/>
          <w:lang w:val="zh-CN"/>
        </w:rPr>
        <w:t xml:space="preserve">定响应文件的响应性只根据响应文件本身的内容，而不寻求外部的证据。</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 未实质性响应磋商文件的情形</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24.3.1 供应商在苏采云系统规定的时间内未成功解密电子响应文件。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24.3.2 供应商未按照磋商文件要求上传电子响应文件。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24.3.3 同一供应商提交两个（含两个）以上不同的响应文件或者最后报价。</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24.3.4 供应商不具备磋商文件中规定的资格要求。</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24.3.5 供应商的最后报价超过了采购预算或最高限价或单价上限。</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24.3.6 不符合磋商文件中规定的实质性要求和条件（</w:t>
      </w:r>
      <w:r>
        <w:rPr>
          <w:rFonts w:hint="eastAsia" w:ascii="仿宋" w:hAnsi="仿宋" w:eastAsia="仿宋" w:cs="仿宋"/>
          <w:b/>
          <w:bCs/>
          <w:color w:val="000000"/>
          <w:sz w:val="24"/>
          <w:szCs w:val="24"/>
          <w:highlight w:val="none"/>
        </w:rPr>
        <w:t xml:space="preserve">本文件中斜体且有下划线部分</w:t>
      </w:r>
      <w:r>
        <w:rPr>
          <w:rFonts w:hint="eastAsia" w:ascii="仿宋" w:hAnsi="仿宋" w:eastAsia="仿宋" w:cs="仿宋"/>
          <w:b/>
          <w:bCs/>
          <w:color w:val="000000"/>
          <w:sz w:val="24"/>
          <w:szCs w:val="24"/>
          <w:highlight w:val="none"/>
          <w:lang w:val="zh-CN"/>
        </w:rPr>
        <w:t xml:space="preserve">或者打“</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”内容，</w:t>
      </w:r>
      <w:r>
        <w:rPr>
          <w:rFonts w:hint="eastAsia" w:ascii="仿宋" w:hAnsi="仿宋" w:eastAsia="仿宋" w:cs="仿宋"/>
          <w:b/>
          <w:bCs/>
          <w:color w:val="000000"/>
          <w:sz w:val="24"/>
          <w:szCs w:val="24"/>
          <w:highlight w:val="none"/>
        </w:rPr>
        <w:t xml:space="preserve">为实质性要求和条件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24.3.8 响应文件含有采购人不能接受的附加条件。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24.3.9 本项目执行苏财购〔2025〕62号《关于推动解决政府采购异常低价问题相关工作的通知》的相关规定：</w:t>
      </w:r>
      <w:r>
        <w:rPr>
          <w:rFonts w:hint="eastAsia" w:ascii="仿宋" w:hAnsi="仿宋" w:eastAsia="仿宋" w:cs="仿宋"/>
          <w:b/>
          <w:bCs/>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评审过程中出现下列情形之一的，评审委员会应当启动异常低价投标（响应）审查程序：</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1．投标（响应）报价低于采购项目预算50%的，即投标（响应）报价&lt;采购项目预算×50%；</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2．投标（响应）报价低于采购项目最高限价45%的，即投标（响应）报价&lt;采购项目最高限价×45%；</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3．评审委员会认定的供应商报价过低、有可能影响产品质量或者不能诚信履约的其他情形。</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bCs/>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24.3.10 </w:t>
      </w:r>
      <w:r>
        <w:rPr>
          <w:rFonts w:hint="eastAsia" w:ascii="仿宋" w:hAnsi="仿宋" w:eastAsia="仿宋" w:cs="仿宋"/>
          <w:color w:val="000000"/>
          <w:sz w:val="24"/>
          <w:szCs w:val="24"/>
          <w:highlight w:val="none"/>
          <w:lang w:val="zh-CN"/>
        </w:rPr>
        <w:t xml:space="preserve">采购产品被财政部、国家发改委、生态环境部等列入“节能产品品目清单”强制采购范围，而供应商提供的产品不在强制采购范围内。</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24.3.11 响应文件未按照磋商文件要求加盖电子公章。</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24.3.12 法律法规及本磋商文件规定的其他无效响应的情形。</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 未实质性响应磋商文件的响应文件按无效响应处理。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bookmarkStart w:id="136" w:name="_Toc513029234"/>
      <w:r/>
      <w:bookmarkStart w:id="137" w:name="_Toc16938550"/>
      <w:r/>
      <w:bookmarkStart w:id="138" w:name="_Toc20823306"/>
      <w:r>
        <w:rPr>
          <w:rFonts w:hint="eastAsia" w:ascii="仿宋" w:hAnsi="仿宋" w:eastAsia="仿宋" w:cs="仿宋"/>
          <w:color w:val="000000"/>
          <w:sz w:val="24"/>
          <w:szCs w:val="24"/>
          <w:highlight w:val="none"/>
        </w:rPr>
        <w:t xml:space="preserve">24.6 供应商在项目评审全过程中应保持通讯畅通，</w:t>
      </w:r>
      <w:r>
        <w:rPr>
          <w:rFonts w:hint="eastAsia" w:ascii="仿宋" w:hAnsi="仿宋" w:eastAsia="仿宋" w:cs="仿宋"/>
          <w:color w:val="000000"/>
          <w:sz w:val="24"/>
          <w:szCs w:val="24"/>
          <w:highlight w:val="none"/>
          <w:lang w:val="zh-CN"/>
        </w:rPr>
        <w:t xml:space="preserve">及时登录苏采云系统查阅、答复相关信息，并安排专人与采购代理及磋商小组联系。</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136"/>
      <w:r/>
      <w:bookmarkEnd w:id="137"/>
      <w:r/>
      <w:bookmarkEnd w:id="138"/>
      <w:r>
        <w:rPr>
          <w:rFonts w:hint="eastAsia" w:ascii="仿宋" w:hAnsi="仿宋" w:eastAsia="仿宋" w:cs="仿宋"/>
          <w:color w:val="000000"/>
          <w:sz w:val="24"/>
          <w:szCs w:val="24"/>
          <w:highlight w:val="none"/>
        </w:rPr>
        <w:t xml:space="preserve">5.磋商程序及评审方法与评审标准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bookmarkStart w:id="139" w:name="_Toc120614219"/>
      <w:r/>
      <w:bookmarkStart w:id="140" w:name="_Toc20823307"/>
      <w:r/>
      <w:bookmarkStart w:id="141" w:name="_Toc16938551"/>
      <w:r/>
      <w:bookmarkStart w:id="142" w:name="_Toc513029235"/>
      <w:r>
        <w:rPr>
          <w:rFonts w:hint="eastAsia" w:ascii="仿宋" w:hAnsi="仿宋" w:eastAsia="仿宋" w:cs="仿宋"/>
          <w:color w:val="000000"/>
          <w:sz w:val="24"/>
          <w:szCs w:val="24"/>
          <w:highlight w:val="none"/>
        </w:rPr>
        <w:t xml:space="preserve">25.1 磋商程序</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25.1.1 </w:t>
      </w:r>
      <w:r>
        <w:rPr>
          <w:rFonts w:hint="eastAsia" w:ascii="仿宋" w:hAnsi="仿宋" w:eastAsia="仿宋" w:cs="仿宋"/>
          <w:color w:val="000000"/>
          <w:sz w:val="24"/>
          <w:szCs w:val="24"/>
          <w:highlight w:val="none"/>
          <w:lang w:val="zh-CN"/>
        </w:rPr>
        <w:t xml:space="preserve">响应文件初审分为资格审查和符合性审查。</w:t>
      </w:r>
      <w:r>
        <w:rPr>
          <w:rFonts w:hint="eastAsia" w:ascii="仿宋" w:hAnsi="仿宋" w:eastAsia="仿宋" w:cs="仿宋"/>
          <w:color w:val="000000"/>
          <w:sz w:val="24"/>
          <w:szCs w:val="24"/>
          <w:highlight w:val="none"/>
          <w:lang w:val="zh-CN"/>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资格审查：依据法律法规和采购文件的规定，对响应文件中的资格证明文件进行审查，以确定供应商是否具备参加磋商的资格。</w:t>
      </w:r>
      <w:r>
        <w:rPr>
          <w:rFonts w:hint="eastAsia" w:ascii="仿宋" w:hAnsi="仿宋" w:eastAsia="仿宋" w:cs="仿宋"/>
          <w:color w:val="000000"/>
          <w:sz w:val="24"/>
          <w:szCs w:val="24"/>
          <w:highlight w:val="none"/>
          <w:lang w:val="zh-CN"/>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color w:val="000000"/>
          <w:sz w:val="24"/>
          <w:szCs w:val="24"/>
          <w:highlight w:val="none"/>
          <w:lang w:val="zh-CN"/>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zh-CN"/>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）在详细评审之前，磋商小组将首先审查每份响应文件是否实质性响应了采购文件的要求。实质性响应的响应文件应该是与采购文件要求的全部条款、条件和规格相符，没有重大偏离或保留。</w:t>
      </w:r>
      <w:r>
        <w:rPr>
          <w:rFonts w:hint="eastAsia" w:ascii="仿宋" w:hAnsi="仿宋" w:eastAsia="仿宋" w:cs="仿宋"/>
          <w:color w:val="000000"/>
          <w:sz w:val="24"/>
          <w:szCs w:val="24"/>
          <w:highlight w:val="none"/>
          <w:lang w:val="zh-CN"/>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color w:val="000000"/>
          <w:sz w:val="24"/>
          <w:szCs w:val="24"/>
          <w:highlight w:val="none"/>
          <w:lang w:val="zh-CN"/>
        </w:rPr>
      </w:r>
      <w:r/>
    </w:p>
    <w:p>
      <w:pPr>
        <w:pStyle w:val="90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）如果响应文件实质上没有响应采购文件的要求，磋商小组将予以拒绝，供应商不得通过修改或撤销不合要求的偏离或保留而使其响应文件成为实质性响应的文件。</w:t>
      </w:r>
      <w:r>
        <w:rPr>
          <w:rFonts w:hint="eastAsia" w:ascii="仿宋" w:hAnsi="仿宋" w:eastAsia="仿宋" w:cs="仿宋"/>
          <w:color w:val="000000"/>
          <w:sz w:val="24"/>
          <w:szCs w:val="24"/>
          <w:highlight w:val="none"/>
          <w:lang w:val="zh-CN"/>
        </w:rPr>
      </w:r>
      <w:r/>
    </w:p>
    <w:p>
      <w:pPr>
        <w:pStyle w:val="90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）供应商在开、评标全过程中应保持通讯畅通，并安排专人</w:t>
      </w:r>
      <w:r>
        <w:rPr>
          <w:rFonts w:hint="eastAsia" w:ascii="仿宋" w:hAnsi="仿宋" w:eastAsia="仿宋" w:cs="仿宋"/>
          <w:b/>
          <w:bCs/>
          <w:color w:val="000000"/>
          <w:sz w:val="24"/>
          <w:szCs w:val="24"/>
          <w:highlight w:val="none"/>
        </w:rPr>
        <w:t xml:space="preserve">等候</w:t>
      </w:r>
      <w:r>
        <w:rPr>
          <w:rFonts w:hint="eastAsia" w:ascii="仿宋" w:hAnsi="仿宋" w:eastAsia="仿宋" w:cs="仿宋"/>
          <w:b/>
          <w:bCs/>
          <w:color w:val="000000"/>
          <w:sz w:val="24"/>
          <w:szCs w:val="24"/>
          <w:highlight w:val="none"/>
          <w:lang w:val="zh-CN"/>
        </w:rPr>
        <w:t xml:space="preserve">代理机构</w:t>
      </w:r>
      <w:r>
        <w:rPr>
          <w:rFonts w:hint="eastAsia" w:ascii="仿宋" w:hAnsi="仿宋" w:eastAsia="仿宋" w:cs="仿宋"/>
          <w:b/>
          <w:bCs/>
          <w:color w:val="000000"/>
          <w:sz w:val="24"/>
          <w:szCs w:val="24"/>
          <w:highlight w:val="none"/>
        </w:rPr>
        <w:t xml:space="preserve">或</w:t>
      </w:r>
      <w:r>
        <w:rPr>
          <w:rFonts w:hint="eastAsia" w:ascii="仿宋" w:hAnsi="仿宋" w:eastAsia="仿宋" w:cs="仿宋"/>
          <w:b/>
          <w:bCs/>
          <w:color w:val="000000"/>
          <w:sz w:val="24"/>
          <w:szCs w:val="24"/>
          <w:highlight w:val="none"/>
          <w:lang w:val="zh-CN"/>
        </w:rPr>
        <w:t xml:space="preserve">磋商小组</w:t>
      </w:r>
      <w:r>
        <w:rPr>
          <w:rFonts w:hint="eastAsia" w:ascii="仿宋" w:hAnsi="仿宋" w:eastAsia="仿宋" w:cs="仿宋"/>
          <w:b/>
          <w:bCs/>
          <w:color w:val="000000"/>
          <w:sz w:val="24"/>
          <w:szCs w:val="24"/>
          <w:highlight w:val="none"/>
        </w:rPr>
        <w:t xml:space="preserve">的</w:t>
      </w:r>
      <w:r>
        <w:rPr>
          <w:rFonts w:hint="eastAsia" w:ascii="仿宋" w:hAnsi="仿宋" w:eastAsia="仿宋" w:cs="仿宋"/>
          <w:b/>
          <w:bCs/>
          <w:color w:val="000000"/>
          <w:sz w:val="24"/>
          <w:szCs w:val="24"/>
          <w:highlight w:val="none"/>
          <w:lang w:val="zh-CN"/>
        </w:rPr>
        <w:t xml:space="preserve">联系。</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25.1.4</w:t>
      </w:r>
      <w:r>
        <w:rPr>
          <w:rFonts w:hint="eastAsia" w:ascii="仿宋" w:hAnsi="仿宋" w:eastAsia="仿宋" w:cs="仿宋"/>
          <w:b/>
          <w:bCs/>
          <w:color w:val="000000"/>
          <w:sz w:val="24"/>
          <w:szCs w:val="24"/>
          <w:highlight w:val="none"/>
          <w:lang w:val="zh-CN"/>
        </w:rPr>
        <w:t xml:space="preserve">除项目扩大了</w:t>
      </w:r>
      <w:r>
        <w:rPr>
          <w:rFonts w:hint="eastAsia" w:ascii="仿宋" w:hAnsi="仿宋" w:eastAsia="仿宋" w:cs="仿宋"/>
          <w:b/>
          <w:bCs/>
          <w:color w:val="000000"/>
          <w:sz w:val="24"/>
          <w:szCs w:val="24"/>
          <w:highlight w:val="none"/>
        </w:rPr>
        <w:t xml:space="preserve">施工</w:t>
      </w:r>
      <w:r>
        <w:rPr>
          <w:rFonts w:hint="eastAsia" w:ascii="仿宋" w:hAnsi="仿宋" w:eastAsia="仿宋" w:cs="仿宋"/>
          <w:b/>
          <w:bCs/>
          <w:color w:val="000000"/>
          <w:sz w:val="24"/>
          <w:szCs w:val="24"/>
          <w:highlight w:val="none"/>
          <w:lang w:val="zh-CN"/>
        </w:rPr>
        <w:t xml:space="preserve">范围，增加了采购内容、提高了技术要求外，原则上</w:t>
      </w:r>
      <w:r>
        <w:rPr>
          <w:rFonts w:hint="eastAsia" w:ascii="仿宋" w:hAnsi="仿宋" w:eastAsia="仿宋" w:cs="仿宋"/>
          <w:b/>
          <w:bCs/>
          <w:color w:val="000000"/>
          <w:sz w:val="24"/>
          <w:szCs w:val="24"/>
          <w:highlight w:val="none"/>
        </w:rPr>
        <w:t xml:space="preserve">最终报价</w:t>
      </w:r>
      <w:r>
        <w:rPr>
          <w:rFonts w:hint="eastAsia" w:ascii="仿宋" w:hAnsi="仿宋" w:eastAsia="仿宋" w:cs="仿宋"/>
          <w:b/>
          <w:bCs/>
          <w:color w:val="000000"/>
          <w:sz w:val="24"/>
          <w:szCs w:val="24"/>
          <w:highlight w:val="none"/>
          <w:lang w:val="zh-CN"/>
        </w:rPr>
        <w:t xml:space="preserve">不得高于上一轮报价。</w:t>
      </w:r>
      <w:r>
        <w:rPr>
          <w:rFonts w:hint="eastAsia" w:ascii="仿宋" w:hAnsi="仿宋" w:eastAsia="仿宋" w:cs="仿宋"/>
          <w:b/>
          <w:bCs/>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 评审方法与评审标准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25.2.1 评审方法。见磋商文件第五章。</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25.2.2 评审标准。见磋商文件第五章。</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 采购活动终止</w:t>
      </w:r>
      <w:r>
        <w:rPr>
          <w:rFonts w:hint="eastAsia" w:ascii="仿宋" w:hAnsi="仿宋" w:eastAsia="仿宋" w:cs="仿宋"/>
          <w:color w:val="000000"/>
          <w:sz w:val="24"/>
          <w:szCs w:val="24"/>
          <w:highlight w:val="none"/>
        </w:rPr>
      </w:r>
      <w:r/>
    </w:p>
    <w:p>
      <w:pPr>
        <w:pStyle w:val="906"/>
        <w:ind w:firstLine="42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出现下列情形之一的，本次采购活动终止：</w:t>
      </w:r>
      <w:r>
        <w:rPr>
          <w:rFonts w:hint="eastAsia" w:ascii="仿宋" w:hAnsi="仿宋" w:eastAsia="仿宋" w:cs="仿宋"/>
          <w:b/>
          <w:bCs/>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25.3.1 因情况变化，不再符合竞争性磋商采购方式适用情形。</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25.3.2 出现影响采购公正的违法、违规行为。</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25.3.3 在苏采云系统规定时间内成功解密电子响应文件的供应商不足三家。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25.3.4 除本磋商文件第二章第25.1.2条第三款规定的情形外，磋商过程中符合要求的供应商或者提交最后报价且未超过采购预算或最高限价的供应商不足三家。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.3.5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法律法规规定的其他应当终止情形。</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25.4 如出现25.</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或25.3</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情形，</w:t>
      </w:r>
      <w:r>
        <w:rPr>
          <w:rFonts w:hint="eastAsia" w:ascii="仿宋" w:hAnsi="仿宋" w:eastAsia="仿宋" w:cs="仿宋"/>
          <w:color w:val="000000"/>
          <w:sz w:val="24"/>
          <w:szCs w:val="24"/>
          <w:highlight w:val="none"/>
        </w:rPr>
        <w:t xml:space="preserve">采购</w:t>
      </w:r>
      <w:r>
        <w:rPr>
          <w:rFonts w:hint="eastAsia" w:ascii="仿宋" w:hAnsi="仿宋" w:eastAsia="仿宋" w:cs="仿宋"/>
          <w:color w:val="000000"/>
          <w:sz w:val="24"/>
          <w:szCs w:val="24"/>
          <w:highlight w:val="none"/>
          <w:lang w:val="zh-CN"/>
        </w:rPr>
        <w:t xml:space="preserve">活动失败，</w:t>
      </w:r>
      <w:r>
        <w:rPr>
          <w:rFonts w:hint="eastAsia" w:ascii="仿宋" w:hAnsi="仿宋" w:eastAsia="仿宋" w:cs="仿宋"/>
          <w:color w:val="000000"/>
          <w:sz w:val="24"/>
          <w:szCs w:val="24"/>
          <w:highlight w:val="none"/>
        </w:rPr>
        <w:t xml:space="preserve">磋商小组应</w:t>
      </w:r>
      <w:r>
        <w:rPr>
          <w:rFonts w:hint="eastAsia" w:ascii="仿宋" w:hAnsi="仿宋" w:eastAsia="仿宋" w:cs="仿宋"/>
          <w:color w:val="000000"/>
          <w:sz w:val="24"/>
          <w:szCs w:val="24"/>
          <w:highlight w:val="none"/>
          <w:lang w:bidi="ar"/>
        </w:rPr>
        <w:t xml:space="preserve">对磋商</w:t>
      </w:r>
      <w:r>
        <w:rPr>
          <w:rFonts w:hint="eastAsia" w:ascii="仿宋" w:hAnsi="仿宋" w:eastAsia="仿宋" w:cs="仿宋"/>
          <w:color w:val="000000"/>
          <w:sz w:val="24"/>
          <w:szCs w:val="24"/>
          <w:highlight w:val="none"/>
          <w:lang w:val="zh-CN" w:bidi="ar"/>
        </w:rPr>
        <w:t xml:space="preserve">文件是否存在不合理条款</w:t>
      </w:r>
      <w:r>
        <w:rPr>
          <w:rFonts w:hint="eastAsia" w:ascii="仿宋" w:hAnsi="仿宋" w:eastAsia="仿宋" w:cs="仿宋"/>
          <w:color w:val="000000"/>
          <w:sz w:val="24"/>
          <w:szCs w:val="24"/>
          <w:highlight w:val="none"/>
          <w:lang w:bidi="ar"/>
        </w:rPr>
        <w:t xml:space="preserve">进行论证，并在评审报告中写明</w:t>
      </w:r>
      <w:r>
        <w:rPr>
          <w:rFonts w:hint="eastAsia" w:ascii="仿宋" w:hAnsi="仿宋" w:eastAsia="仿宋" w:cs="仿宋"/>
          <w:color w:val="000000"/>
          <w:sz w:val="24"/>
          <w:szCs w:val="24"/>
          <w:highlight w:val="none"/>
          <w:lang w:val="zh-CN" w:bidi="ar"/>
        </w:rPr>
        <w:t xml:space="preserve">论证意见。</w:t>
      </w:r>
      <w:r>
        <w:rPr>
          <w:rFonts w:hint="eastAsia" w:ascii="仿宋" w:hAnsi="仿宋" w:eastAsia="仿宋" w:cs="仿宋"/>
          <w:color w:val="000000"/>
          <w:sz w:val="24"/>
          <w:szCs w:val="24"/>
          <w:highlight w:val="none"/>
        </w:rPr>
      </w:r>
      <w:r/>
    </w:p>
    <w:p>
      <w:pPr>
        <w:pStyle w:val="1084"/>
        <w:ind w:firstLine="465"/>
        <w:spacing w:before="145" w:after="145"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六、</w:t>
      </w:r>
      <w:bookmarkEnd w:id="139"/>
      <w:r/>
      <w:bookmarkEnd w:id="140"/>
      <w:r/>
      <w:bookmarkEnd w:id="141"/>
      <w:r/>
      <w:bookmarkEnd w:id="142"/>
      <w:r>
        <w:rPr>
          <w:rFonts w:hint="eastAsia" w:ascii="仿宋" w:hAnsi="仿宋" w:eastAsia="仿宋" w:cs="仿宋"/>
          <w:b w:val="0"/>
          <w:bCs w:val="0"/>
          <w:color w:val="000000"/>
          <w:sz w:val="24"/>
          <w:szCs w:val="24"/>
          <w:highlight w:val="none"/>
        </w:rPr>
        <w:t xml:space="preserve">成交</w:t>
      </w:r>
      <w:r>
        <w:rPr>
          <w:rFonts w:hint="eastAsia" w:ascii="仿宋" w:hAnsi="仿宋" w:eastAsia="仿宋" w:cs="仿宋"/>
          <w:b w:val="0"/>
          <w:bCs w:val="0"/>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bookmarkStart w:id="143" w:name="_Toc513029238"/>
      <w:r/>
      <w:bookmarkStart w:id="144" w:name="_Toc16938554"/>
      <w:r/>
      <w:bookmarkStart w:id="145" w:name="_Toc20823310"/>
      <w:r>
        <w:rPr>
          <w:rFonts w:hint="eastAsia" w:ascii="仿宋" w:hAnsi="仿宋" w:eastAsia="仿宋" w:cs="仿宋"/>
          <w:color w:val="000000"/>
          <w:sz w:val="24"/>
          <w:szCs w:val="24"/>
          <w:highlight w:val="none"/>
        </w:rPr>
        <w:t xml:space="preserve">2</w:t>
      </w:r>
      <w:bookmarkEnd w:id="143"/>
      <w:r>
        <w:rPr>
          <w:rFonts w:hint="eastAsia" w:ascii="仿宋" w:hAnsi="仿宋" w:eastAsia="仿宋" w:cs="仿宋"/>
          <w:color w:val="000000"/>
          <w:sz w:val="24"/>
          <w:szCs w:val="24"/>
          <w:highlight w:val="none"/>
        </w:rPr>
        <w:t xml:space="preserve">6.确定</w:t>
      </w:r>
      <w:bookmarkEnd w:id="144"/>
      <w:r/>
      <w:bookmarkEnd w:id="145"/>
      <w:r>
        <w:rPr>
          <w:rFonts w:hint="eastAsia" w:ascii="仿宋" w:hAnsi="仿宋" w:eastAsia="仿宋" w:cs="仿宋"/>
          <w:color w:val="000000"/>
          <w:sz w:val="24"/>
          <w:szCs w:val="24"/>
          <w:highlight w:val="none"/>
        </w:rPr>
        <w:t xml:space="preserve">成交单位</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 成交候选供应商的确定原则和数量见磋商文件第五章。</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 </w:t>
      </w:r>
      <w:r>
        <w:rPr>
          <w:rFonts w:hint="eastAsia" w:ascii="仿宋" w:hAnsi="仿宋" w:eastAsia="仿宋" w:cs="仿宋"/>
          <w:color w:val="000000"/>
          <w:sz w:val="24"/>
          <w:szCs w:val="24"/>
          <w:highlight w:val="none"/>
          <w:lang w:val="zh-CN"/>
        </w:rPr>
        <w:t xml:space="preserve">按以下第（</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）种方式确定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磋商小组</w:t>
      </w:r>
      <w:r>
        <w:rPr>
          <w:rFonts w:hint="eastAsia" w:ascii="仿宋" w:hAnsi="仿宋" w:eastAsia="仿宋" w:cs="仿宋"/>
          <w:color w:val="000000"/>
          <w:sz w:val="24"/>
          <w:szCs w:val="24"/>
          <w:highlight w:val="none"/>
          <w:lang w:val="zh-CN"/>
        </w:rPr>
        <w:t xml:space="preserve">直接确定排名第一的</w:t>
      </w:r>
      <w:r>
        <w:rPr>
          <w:rFonts w:hint="eastAsia" w:ascii="仿宋" w:hAnsi="仿宋" w:eastAsia="仿宋" w:cs="仿宋"/>
          <w:color w:val="000000"/>
          <w:sz w:val="24"/>
          <w:szCs w:val="24"/>
          <w:highlight w:val="none"/>
        </w:rPr>
        <w:t xml:space="preserve">成交候选供应商</w:t>
      </w:r>
      <w:r>
        <w:rPr>
          <w:rFonts w:hint="eastAsia" w:ascii="仿宋" w:hAnsi="仿宋" w:eastAsia="仿宋" w:cs="仿宋"/>
          <w:color w:val="000000"/>
          <w:sz w:val="24"/>
          <w:szCs w:val="24"/>
          <w:highlight w:val="none"/>
          <w:lang w:val="zh-CN"/>
        </w:rPr>
        <w:t xml:space="preserve">为</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（2）采购人在</w:t>
      </w:r>
      <w:r>
        <w:rPr>
          <w:rFonts w:hint="eastAsia" w:ascii="仿宋" w:hAnsi="仿宋" w:eastAsia="仿宋" w:cs="仿宋"/>
          <w:color w:val="000000"/>
          <w:sz w:val="24"/>
          <w:szCs w:val="24"/>
          <w:highlight w:val="none"/>
        </w:rPr>
        <w:t xml:space="preserve">磋商小组</w:t>
      </w:r>
      <w:r>
        <w:rPr>
          <w:rFonts w:hint="eastAsia" w:ascii="仿宋" w:hAnsi="仿宋" w:eastAsia="仿宋" w:cs="仿宋"/>
          <w:color w:val="000000"/>
          <w:sz w:val="24"/>
          <w:szCs w:val="24"/>
          <w:highlight w:val="none"/>
          <w:lang w:val="zh-CN"/>
        </w:rPr>
        <w:t xml:space="preserve">推荐的</w:t>
      </w:r>
      <w:r>
        <w:rPr>
          <w:rFonts w:hint="eastAsia" w:ascii="仿宋" w:hAnsi="仿宋" w:eastAsia="仿宋" w:cs="仿宋"/>
          <w:color w:val="000000"/>
          <w:sz w:val="24"/>
          <w:szCs w:val="24"/>
          <w:highlight w:val="none"/>
        </w:rPr>
        <w:t xml:space="preserve">成交候选供应商</w:t>
      </w:r>
      <w:r>
        <w:rPr>
          <w:rFonts w:hint="eastAsia" w:ascii="仿宋" w:hAnsi="仿宋" w:eastAsia="仿宋" w:cs="仿宋"/>
          <w:color w:val="000000"/>
          <w:sz w:val="24"/>
          <w:szCs w:val="24"/>
          <w:highlight w:val="none"/>
          <w:lang w:val="zh-CN"/>
        </w:rPr>
        <w:t xml:space="preserve">中按顺序确定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按第二种方式确定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的，采购代理自评审结束之日起两个工作日内将评审报告送交采购人，采购人自收到评审报告之日起五个工作日内，在评审报告推荐的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highlight w:val="none"/>
        </w:rPr>
        <w:t xml:space="preserve">成交候选供应商</w:t>
      </w:r>
      <w:r>
        <w:rPr>
          <w:rFonts w:hint="eastAsia" w:ascii="仿宋" w:hAnsi="仿宋" w:eastAsia="仿宋" w:cs="仿宋"/>
          <w:color w:val="000000"/>
          <w:sz w:val="24"/>
          <w:szCs w:val="24"/>
          <w:highlight w:val="none"/>
          <w:lang w:val="zh-CN"/>
        </w:rPr>
        <w:t xml:space="preserve">中按顺序确定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 采购代理将在“江苏政府采购网”发布成交结果公告，公告期限为1个工作日。</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 </w:t>
      </w:r>
      <w:r>
        <w:rPr>
          <w:rFonts w:hint="eastAsia" w:ascii="仿宋" w:hAnsi="仿宋" w:eastAsia="仿宋" w:cs="仿宋"/>
          <w:b/>
          <w:bCs/>
          <w:color w:val="000000"/>
          <w:sz w:val="24"/>
          <w:szCs w:val="24"/>
          <w:highlight w:val="none"/>
        </w:rPr>
        <w:t xml:space="preserve">若有充分证据证明成交供应商有下列情况之一的，一经查实将被取消成交资格：</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26.4.1 提供虚假材料谋取成交。</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26.4.2 向评审专家、采购人或采购代理工作人员行贿或者提供其他不正当利益。</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26.4.3 与其他供应商、评审专家、采购人或采购代理工作人员恶意串通。</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26.4.4 不满足本磋商文件规定的实质性要求，但在评审过程中未被磋商小组发现。</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26.4.5 采取不正当手段诋毁、排挤其他供应商。</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 成交结果确定后，采购代理将向成交供应商发出《成交通知书》。成交供应商可在成交结果公告届满之日起三十日内，登录苏采云系统下载。    </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rPr>
      </w:r>
      <w:r/>
    </w:p>
    <w:p>
      <w:pPr>
        <w:pStyle w:val="1084"/>
        <w:ind w:firstLine="465"/>
        <w:spacing w:before="145" w:after="145"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七、授予合同</w:t>
      </w:r>
      <w:r>
        <w:rPr>
          <w:rFonts w:hint="eastAsia" w:ascii="仿宋" w:hAnsi="仿宋" w:eastAsia="仿宋" w:cs="仿宋"/>
          <w:b w:val="0"/>
          <w:bCs w:val="0"/>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 成交供应商应当在《成交通知书》发出之日起三十日内，按照磋商文件确定的事项与采购人签订政府采购合同。采购人于合同签订后2个工作日内通过苏采云系统进行公示。</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 磋商文件、成交供应商的响应文件及磋商过程中有关澄清、承诺文件均作为合同附件。</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 成交供应商因自身原因拒绝与采购人签订合同的，</w:t>
      </w:r>
      <w:r>
        <w:rPr>
          <w:rFonts w:hint="eastAsia" w:ascii="仿宋" w:hAnsi="仿宋" w:eastAsia="仿宋" w:cs="仿宋"/>
          <w:color w:val="000000"/>
          <w:sz w:val="24"/>
          <w:szCs w:val="24"/>
          <w:highlight w:val="none"/>
          <w:lang w:val="zh-CN"/>
        </w:rPr>
        <w:t xml:space="preserve">不得参加采购人</w:t>
      </w:r>
      <w:r>
        <w:rPr>
          <w:rFonts w:hint="eastAsia" w:ascii="仿宋" w:hAnsi="仿宋" w:eastAsia="仿宋" w:cs="仿宋"/>
          <w:color w:val="000000"/>
          <w:sz w:val="24"/>
          <w:szCs w:val="24"/>
          <w:highlight w:val="none"/>
        </w:rPr>
        <w:t xml:space="preserve">重新组织的</w:t>
      </w:r>
      <w:r>
        <w:rPr>
          <w:rFonts w:hint="eastAsia" w:ascii="仿宋" w:hAnsi="仿宋" w:eastAsia="仿宋" w:cs="仿宋"/>
          <w:color w:val="000000"/>
          <w:sz w:val="24"/>
          <w:szCs w:val="24"/>
          <w:highlight w:val="none"/>
          <w:lang w:val="zh-CN"/>
        </w:rPr>
        <w:t xml:space="preserve">采购活动</w:t>
      </w:r>
      <w:r>
        <w:rPr>
          <w:rFonts w:hint="eastAsia" w:ascii="仿宋" w:hAnsi="仿宋" w:eastAsia="仿宋" w:cs="仿宋"/>
          <w:color w:val="000000"/>
          <w:sz w:val="24"/>
          <w:szCs w:val="24"/>
          <w:highlight w:val="none"/>
        </w:rPr>
        <w:t xml:space="preserve">，且将可能被拒绝参加该采购人</w:t>
      </w:r>
      <w:r>
        <w:rPr>
          <w:rFonts w:hint="eastAsia" w:ascii="仿宋" w:hAnsi="仿宋" w:eastAsia="仿宋" w:cs="仿宋"/>
          <w:color w:val="000000"/>
          <w:sz w:val="24"/>
          <w:szCs w:val="24"/>
          <w:highlight w:val="none"/>
          <w:lang w:val="zh-CN"/>
        </w:rPr>
        <w:t xml:space="preserve">一年内</w:t>
      </w:r>
      <w:r>
        <w:rPr>
          <w:rFonts w:hint="eastAsia" w:ascii="仿宋" w:hAnsi="仿宋" w:eastAsia="仿宋" w:cs="仿宋"/>
          <w:color w:val="000000"/>
          <w:sz w:val="24"/>
          <w:szCs w:val="24"/>
          <w:highlight w:val="none"/>
        </w:rPr>
        <w:t xml:space="preserve">的其他</w:t>
      </w:r>
      <w:r>
        <w:rPr>
          <w:rFonts w:hint="eastAsia" w:ascii="仿宋" w:hAnsi="仿宋" w:eastAsia="仿宋" w:cs="仿宋"/>
          <w:color w:val="000000"/>
          <w:sz w:val="24"/>
          <w:szCs w:val="24"/>
          <w:highlight w:val="none"/>
          <w:lang w:val="zh-CN"/>
        </w:rPr>
        <w:t xml:space="preserve">政府采购活动。</w:t>
      </w:r>
      <w:r>
        <w:rPr>
          <w:rFonts w:hint="eastAsia" w:ascii="仿宋" w:hAnsi="仿宋" w:eastAsia="仿宋" w:cs="仿宋"/>
          <w:color w:val="000000"/>
          <w:sz w:val="24"/>
          <w:szCs w:val="24"/>
          <w:highlight w:val="none"/>
        </w:rPr>
      </w:r>
      <w:r/>
    </w:p>
    <w:p>
      <w:pPr>
        <w:pStyle w:val="1076"/>
        <w:ind w:firstLine="420"/>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29.标的物的追加</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30.政府采购履约资金扶持政策</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30.1 成交供应商通过</w:t>
      </w:r>
      <w:r>
        <w:rPr>
          <w:rFonts w:hint="eastAsia" w:ascii="仿宋" w:hAnsi="仿宋" w:eastAsia="仿宋" w:cs="仿宋"/>
          <w:color w:val="000000"/>
          <w:sz w:val="24"/>
          <w:szCs w:val="24"/>
          <w:highlight w:val="none"/>
          <w:lang w:val="zh-CN"/>
        </w:rPr>
        <w:t xml:space="preserve">南京市公共资源交易</w:t>
      </w:r>
      <w:r>
        <w:rPr>
          <w:rFonts w:hint="eastAsia" w:ascii="仿宋" w:hAnsi="仿宋" w:eastAsia="仿宋" w:cs="仿宋"/>
          <w:color w:val="000000"/>
          <w:sz w:val="24"/>
          <w:szCs w:val="24"/>
          <w:highlight w:val="none"/>
        </w:rPr>
        <w:t xml:space="preserve">平台</w:t>
      </w:r>
      <w:r>
        <w:rPr>
          <w:rFonts w:hint="eastAsia" w:ascii="仿宋" w:hAnsi="仿宋" w:eastAsia="仿宋" w:cs="仿宋"/>
          <w:color w:val="000000"/>
          <w:sz w:val="24"/>
          <w:szCs w:val="24"/>
          <w:highlight w:val="none"/>
          <w:lang w:val="zh-CN"/>
        </w:rPr>
        <w:t xml:space="preserve">网站“小企业融资平台”，</w:t>
      </w:r>
      <w:r>
        <w:rPr>
          <w:rFonts w:hint="eastAsia" w:ascii="仿宋" w:hAnsi="仿宋" w:eastAsia="仿宋" w:cs="仿宋"/>
          <w:color w:val="000000"/>
          <w:sz w:val="24"/>
          <w:szCs w:val="24"/>
          <w:highlight w:val="none"/>
        </w:rPr>
        <w:t xml:space="preserve">选择相应的金融机构</w:t>
      </w:r>
      <w:r>
        <w:rPr>
          <w:rFonts w:hint="eastAsia" w:ascii="仿宋" w:hAnsi="仿宋" w:eastAsia="仿宋" w:cs="仿宋"/>
          <w:color w:val="000000"/>
          <w:sz w:val="24"/>
          <w:szCs w:val="24"/>
          <w:highlight w:val="none"/>
          <w:lang w:val="zh-CN"/>
        </w:rPr>
        <w:t xml:space="preserve">办理融资贷款。</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30.2 依据《关于在全省政府采购领域推行电子履约保函（保险）的通知》（苏财购〔2023〕150号），需要缴纳履约保证金的，成交供应商</w:t>
      </w:r>
      <w:r>
        <w:rPr>
          <w:rFonts w:hint="eastAsia" w:ascii="仿宋" w:hAnsi="仿宋" w:eastAsia="仿宋" w:cs="仿宋"/>
          <w:color w:val="000000"/>
          <w:sz w:val="24"/>
          <w:szCs w:val="24"/>
          <w:highlight w:val="none"/>
          <w:lang w:val="zh-CN"/>
        </w:rPr>
        <w:t xml:space="preserve">可</w:t>
      </w:r>
      <w:r>
        <w:rPr>
          <w:rFonts w:hint="eastAsia" w:ascii="仿宋" w:hAnsi="仿宋" w:eastAsia="仿宋" w:cs="仿宋"/>
          <w:color w:val="000000"/>
          <w:sz w:val="24"/>
          <w:szCs w:val="24"/>
          <w:highlight w:val="none"/>
        </w:rPr>
        <w:t xml:space="preserve">通过江苏政府采购网“政府采购电子履约保函（保险）综合服务平台”线上办理履约保函（保险）</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八、质疑</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32</w:t>
      </w:r>
      <w:r>
        <w:rPr>
          <w:rFonts w:hint="eastAsia" w:ascii="仿宋" w:hAnsi="仿宋" w:eastAsia="仿宋" w:cs="仿宋"/>
          <w:color w:val="000000"/>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4"/>
          <w:szCs w:val="24"/>
          <w:highlight w:val="none"/>
        </w:rPr>
        <w:t xml:space="preserve">按照第3</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条</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第35</w:t>
      </w:r>
      <w:r>
        <w:rPr>
          <w:rFonts w:hint="eastAsia" w:ascii="仿宋" w:hAnsi="仿宋" w:eastAsia="仿宋" w:cs="仿宋"/>
          <w:color w:val="000000"/>
          <w:sz w:val="24"/>
          <w:szCs w:val="24"/>
          <w:highlight w:val="none"/>
          <w:lang w:val="zh-CN"/>
        </w:rPr>
        <w:t xml:space="preserve">条</w:t>
      </w:r>
      <w:r>
        <w:rPr>
          <w:rFonts w:hint="eastAsia" w:ascii="仿宋" w:hAnsi="仿宋" w:eastAsia="仿宋" w:cs="仿宋"/>
          <w:color w:val="000000"/>
          <w:sz w:val="24"/>
          <w:szCs w:val="24"/>
          <w:highlight w:val="none"/>
        </w:rPr>
        <w:t xml:space="preserve">之</w:t>
      </w:r>
      <w:r>
        <w:rPr>
          <w:rFonts w:hint="eastAsia" w:ascii="仿宋" w:hAnsi="仿宋" w:eastAsia="仿宋" w:cs="仿宋"/>
          <w:color w:val="000000"/>
          <w:sz w:val="24"/>
          <w:szCs w:val="24"/>
          <w:highlight w:val="none"/>
          <w:lang w:val="zh-CN"/>
        </w:rPr>
        <w:t xml:space="preserve">规定以书面形式向采购人或采购代理提出质疑。上述应知其权益受到损害之日是指：</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对采购文件提出质疑的，为收到采购文件之日或者采购文件公告期限届满之日。</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对采购过程提出质疑的，为各采购程序环节结束之日。</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对成交结果提出质疑的，为成交结果公告期限届满之日。</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33.</w:t>
      </w:r>
      <w:r>
        <w:rPr>
          <w:rFonts w:hint="eastAsia" w:ascii="仿宋" w:hAnsi="仿宋" w:eastAsia="仿宋" w:cs="仿宋"/>
          <w:color w:val="000000"/>
          <w:sz w:val="24"/>
          <w:szCs w:val="24"/>
          <w:highlight w:val="none"/>
          <w:lang w:val="zh-CN"/>
        </w:rPr>
        <w:t xml:space="preserve">供应商应当在法定质疑期内一次性提出针对同一采购程序环节的质疑。供应商如在法定期限内对同一采购程序环节提出多次质疑的，采购代理</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val="zh-CN"/>
        </w:rPr>
        <w:t xml:space="preserve">采购人将只对供应商第一次质疑作出答复。</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34.</w:t>
      </w:r>
      <w:r>
        <w:rPr>
          <w:rFonts w:hint="eastAsia" w:ascii="仿宋" w:hAnsi="仿宋" w:eastAsia="仿宋" w:cs="仿宋"/>
          <w:color w:val="000000"/>
          <w:sz w:val="24"/>
          <w:szCs w:val="24"/>
          <w:highlight w:val="none"/>
          <w:lang w:val="zh-CN"/>
        </w:rPr>
        <w:t xml:space="preserve">供应商提出质疑应提交《质疑函》原件，且尽可能通过邮寄方式送达，采购代理和采购人不接受无运单的快件。《质疑函》应按照本磋商文件中《质疑函范本》</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zh-CN"/>
        </w:rPr>
        <w:t xml:space="preserve">格式和内容填写。</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供应商如组成联合体参加采购活动，《质疑函范本》中要求加盖公章之处，联合体各方均须按要求加盖公章。</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w:t>
      </w:r>
      <w:r>
        <w:rPr>
          <w:rFonts w:hint="eastAsia" w:ascii="仿宋" w:hAnsi="仿宋" w:eastAsia="仿宋" w:cs="仿宋"/>
          <w:color w:val="000000"/>
          <w:sz w:val="24"/>
          <w:szCs w:val="24"/>
          <w:highlight w:val="none"/>
          <w:lang w:val="zh-CN"/>
        </w:rPr>
        <w:t xml:space="preserve">供应商（含潜在供应商）对采购方式、采购需求、供应商资格条件、评审方法与评审标准、合同文本的询问</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val="zh-CN"/>
        </w:rPr>
        <w:t xml:space="preserve">质疑向采购人提出，由采购人负责答复。供应商对</w:t>
      </w:r>
      <w:r>
        <w:rPr>
          <w:rFonts w:hint="eastAsia" w:ascii="仿宋" w:hAnsi="仿宋" w:eastAsia="仿宋" w:cs="仿宋"/>
          <w:color w:val="000000"/>
          <w:sz w:val="24"/>
          <w:szCs w:val="24"/>
          <w:highlight w:val="none"/>
        </w:rPr>
        <w:t xml:space="preserve">采购过程、采购结果</w:t>
      </w:r>
      <w:r>
        <w:rPr>
          <w:rFonts w:hint="eastAsia" w:ascii="仿宋" w:hAnsi="仿宋" w:eastAsia="仿宋" w:cs="仿宋"/>
          <w:color w:val="000000"/>
          <w:sz w:val="24"/>
          <w:szCs w:val="24"/>
          <w:highlight w:val="none"/>
          <w:lang w:val="zh-CN"/>
        </w:rPr>
        <w:t xml:space="preserve">的询问</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val="zh-CN"/>
        </w:rPr>
        <w:t xml:space="preserve">质疑向采购代理提出，由采购代理负责答复。</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w:t>
      </w:r>
      <w:r>
        <w:rPr>
          <w:rFonts w:hint="eastAsia" w:ascii="仿宋" w:hAnsi="仿宋" w:eastAsia="仿宋" w:cs="仿宋"/>
          <w:color w:val="000000"/>
          <w:sz w:val="24"/>
          <w:szCs w:val="24"/>
          <w:highlight w:val="none"/>
        </w:rPr>
        <w:t xml:space="preserve">代理</w:t>
      </w:r>
      <w:r>
        <w:rPr>
          <w:rFonts w:hint="eastAsia" w:ascii="仿宋" w:hAnsi="仿宋" w:eastAsia="仿宋" w:cs="仿宋"/>
          <w:color w:val="000000"/>
          <w:sz w:val="24"/>
          <w:szCs w:val="24"/>
          <w:highlight w:val="none"/>
          <w:lang w:val="zh-CN"/>
        </w:rPr>
        <w:t xml:space="preserve">《质疑函》接收人及联系方式见采购文件第一章。</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36.以下情形的质疑不予受理：</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36.1 内容不符合《政府采购质疑和投诉办法》第十二条规定的质疑。</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36.2 超出政府采购法定期限的质疑。</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36.3 以传真、电子邮件等方式递交的非原件形式的质疑。</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36.4 未参加采购活动或在采购活动中自身权益未受到损害的供应商所提出的质疑。</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36.5 供应商组成联合体参加采购活动，联合体中任何一方或多方未按要求签字或盖章、加盖公章的质疑。</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36.6 法律法规规定的其他不予受理情形。</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九、政策功能落实</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38.促进中小企业发展</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38.1 本项目服务由中小企业承接的，参与磋商的供应商享受中小企业扶持政策：</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38.3 中小企业参加政府采购活动，应当出具《中小企业声明函》，否则不享受相关中小企业支持政策。</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38.4 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zh-CN"/>
        </w:rPr>
      </w:r>
      <w:r/>
    </w:p>
    <w:p>
      <w:pPr>
        <w:pStyle w:val="90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38.6 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color w:val="000000"/>
          <w:sz w:val="24"/>
          <w:szCs w:val="24"/>
          <w:highlight w:val="none"/>
          <w:lang w:val="zh-CN"/>
        </w:rPr>
      </w:r>
      <w:r/>
    </w:p>
    <w:p>
      <w:pPr>
        <w:pStyle w:val="1079"/>
        <w:spacing w:line="360" w:lineRule="auto"/>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906"/>
        <w:spacing w:line="36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06"/>
        <w:ind w:firstLine="480"/>
        <w:jc w:val="left"/>
        <w:spacing w:line="360" w:lineRule="auto"/>
        <w:shd w:val="clear" w:color="auto" w:fill="ffffff"/>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ind w:firstLine="480"/>
        <w:jc w:val="left"/>
        <w:spacing w:line="360" w:lineRule="auto"/>
        <w:shd w:val="clear" w:color="auto" w:fill="ffffff"/>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82"/>
        <w:rPr>
          <w:rFonts w:hint="eastAsia" w:ascii="仿宋" w:hAnsi="仿宋" w:eastAsia="仿宋" w:cs="仿宋"/>
          <w:b w:val="0"/>
          <w:bCs w:val="0"/>
          <w:color w:val="000000"/>
          <w:highlight w:val="none"/>
        </w:rPr>
      </w:pPr>
      <w:r>
        <w:rPr>
          <w:rFonts w:hint="eastAsia" w:ascii="仿宋" w:hAnsi="仿宋" w:eastAsia="仿宋" w:cs="仿宋"/>
          <w:color w:val="000000"/>
          <w:sz w:val="24"/>
          <w:szCs w:val="24"/>
          <w:highlight w:val="none"/>
          <w:lang w:val="zh-CN"/>
        </w:rPr>
        <w:br w:type="page" w:clear="all"/>
      </w:r>
      <w:bookmarkStart w:id="146" w:name="_Toc13232"/>
      <w:r>
        <w:rPr>
          <w:rFonts w:hint="eastAsia" w:ascii="仿宋" w:hAnsi="仿宋" w:eastAsia="仿宋" w:cs="仿宋"/>
          <w:color w:val="000000"/>
          <w:highlight w:val="none"/>
          <w:lang w:val="zh-CN"/>
        </w:rPr>
        <w:t xml:space="preserve">第三章 评标标准</w:t>
      </w:r>
      <w:bookmarkEnd w:id="146"/>
      <w:r>
        <w:rPr>
          <w:rFonts w:hint="eastAsia" w:ascii="仿宋" w:hAnsi="仿宋" w:eastAsia="仿宋" w:cs="仿宋"/>
          <w:b w:val="0"/>
          <w:bCs w:val="0"/>
          <w:color w:val="000000"/>
          <w:highlight w:val="none"/>
        </w:rPr>
      </w:r>
      <w:r/>
    </w:p>
    <w:p>
      <w:pPr>
        <w:pStyle w:val="906"/>
        <w:ind w:firstLine="442"/>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根据宁财购〔2022〕409号“关于规范和加强小型建设工程政府采购管理的通知”的文件精神及专家组论证意见，本项目采用综合评分法，评分统计方法采用百分制（满分100分），将全部磋商小组成员评分直接进行算术平均，小数点后保留2位。按评审后得分由高到低顺序排列，得分相同的，按报价由低到高顺序排列。</w:t>
      </w:r>
      <w:r>
        <w:rPr>
          <w:rFonts w:hint="eastAsia" w:ascii="仿宋" w:hAnsi="仿宋" w:eastAsia="仿宋" w:cs="仿宋"/>
          <w:color w:val="000000"/>
          <w:sz w:val="24"/>
          <w:szCs w:val="24"/>
          <w:highlight w:val="none"/>
        </w:rPr>
      </w:r>
      <w:r/>
    </w:p>
    <w:tbl>
      <w:tblPr>
        <w:tblW w:w="4937" w:type="pct"/>
        <w:tblInd w:w="5" w:type="dxa"/>
        <w:tblLayout w:type="autofit"/>
        <w:tblCellMar>
          <w:left w:w="108" w:type="dxa"/>
          <w:top w:w="0" w:type="dxa"/>
          <w:right w:w="108" w:type="dxa"/>
          <w:bottom w:w="0" w:type="dxa"/>
        </w:tblCellMar>
        <w:tblLook w:val="04A0" w:firstRow="1" w:lastRow="0" w:firstColumn="1" w:lastColumn="0" w:noHBand="0" w:noVBand="1"/>
      </w:tblPr>
      <w:tblGrid>
        <w:gridCol w:w="776"/>
        <w:gridCol w:w="799"/>
        <w:gridCol w:w="5432"/>
        <w:gridCol w:w="900"/>
        <w:gridCol w:w="1510"/>
      </w:tblGrid>
      <w:tr>
        <w:trPr>
          <w:trHeight w:val="491"/>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spacing w:line="240" w:lineRule="exac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评审</w:t>
            </w:r>
            <w:r>
              <w:rPr>
                <w:rFonts w:hint="eastAsia" w:ascii="仿宋" w:hAnsi="仿宋" w:eastAsia="仿宋" w:cs="仿宋"/>
                <w:b/>
                <w:bCs/>
                <w:color w:val="000000"/>
                <w:sz w:val="21"/>
                <w:szCs w:val="21"/>
                <w:highlight w:val="none"/>
              </w:rPr>
            </w:r>
            <w:r/>
          </w:p>
          <w:p>
            <w:pPr>
              <w:pStyle w:val="906"/>
              <w:jc w:val="center"/>
              <w:spacing w:line="240" w:lineRule="exac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因素</w:t>
            </w:r>
            <w:r>
              <w:rPr>
                <w:rFonts w:hint="eastAsia" w:ascii="仿宋" w:hAnsi="仿宋" w:eastAsia="仿宋" w:cs="仿宋"/>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jc w:val="center"/>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评审细则</w:t>
            </w:r>
            <w:r>
              <w:rPr>
                <w:rFonts w:hint="eastAsia" w:ascii="仿宋" w:hAnsi="仿宋" w:eastAsia="仿宋" w:cs="仿宋"/>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分值</w:t>
            </w:r>
            <w:r>
              <w:rPr>
                <w:rFonts w:hint="eastAsia" w:ascii="仿宋" w:hAnsi="仿宋" w:eastAsia="仿宋" w:cs="仿宋"/>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分值类型</w:t>
            </w:r>
            <w:r>
              <w:rPr>
                <w:rFonts w:hint="eastAsia" w:ascii="仿宋" w:hAnsi="仿宋" w:eastAsia="仿宋" w:cs="仿宋"/>
                <w:b/>
                <w:bCs/>
                <w:color w:val="000000"/>
                <w:sz w:val="21"/>
                <w:szCs w:val="21"/>
                <w:highlight w:val="none"/>
              </w:rPr>
            </w:r>
            <w:r/>
          </w:p>
        </w:tc>
      </w:tr>
      <w:tr>
        <w:trPr>
          <w:trHeight w:val="326"/>
        </w:trPr>
        <w:tc>
          <w:tcPr>
            <w:gridSpan w:val="5"/>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一、价格（70分）</w:t>
            </w:r>
            <w:r>
              <w:rPr>
                <w:rFonts w:hint="eastAsia" w:ascii="仿宋" w:hAnsi="仿宋" w:eastAsia="仿宋" w:cs="仿宋"/>
                <w:color w:val="000000"/>
                <w:sz w:val="21"/>
                <w:szCs w:val="21"/>
                <w:highlight w:val="none"/>
              </w:rPr>
            </w:r>
            <w:r/>
          </w:p>
        </w:tc>
      </w:tr>
      <w:tr>
        <w:trPr>
          <w:trHeight w:val="1559"/>
        </w:trPr>
        <w:tc>
          <w:tcPr>
            <w:tcBorders>
              <w:top w:val="non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价格分</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的价格分统一采用低价优先法计算，满足磋商文件要求且投标价格最低的响应性报价为评标基准价，其价格分为满分。其他供应商的价格分统一按照下列公式计算响应性报价得分=(评标基准价／响应性报价)×70</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70</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r>
      <w:tr>
        <w:trPr>
          <w:trHeight w:val="326"/>
        </w:trPr>
        <w:tc>
          <w:tcPr>
            <w:gridSpan w:val="5"/>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二、技术（2</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tc>
      </w:tr>
      <w:tr>
        <w:trPr>
          <w:trHeight w:val="2798"/>
        </w:trPr>
        <w:tc>
          <w:tcPr>
            <w:tcBorders>
              <w:top w:val="non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总体概述</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根据供应商提供的项目实施总体方案表述的清晰性、全面性、前瞻性、合理性、科学性、可行性及针对性等进行评分：</w:t>
            </w:r>
            <w:r>
              <w:rPr>
                <w:rFonts w:hint="eastAsia" w:ascii="仿宋" w:hAnsi="仿宋" w:eastAsia="仿宋" w:cs="仿宋"/>
                <w:color w:val="000000"/>
                <w:sz w:val="21"/>
                <w:szCs w:val="21"/>
                <w:highlight w:val="none"/>
              </w:rPr>
            </w:r>
            <w:r/>
          </w:p>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施总体方案表述的清晰、全面、前瞻、合理、科学、可行、针对性强的得5分；实施总体方案表述较为清晰、全面、前瞻、合理、科学、可行、针对性较强的得3分；实施总体方案表述不太清晰、全面、前瞻、合理、科学、可行、针对性不强的得1分；没有不得分。</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主观分</w:t>
            </w:r>
            <w:r>
              <w:rPr>
                <w:rFonts w:hint="eastAsia" w:ascii="仿宋" w:hAnsi="仿宋" w:eastAsia="仿宋" w:cs="仿宋"/>
                <w:color w:val="000000"/>
                <w:sz w:val="21"/>
                <w:szCs w:val="21"/>
                <w:highlight w:val="none"/>
              </w:rPr>
            </w:r>
            <w:r/>
          </w:p>
        </w:tc>
      </w:tr>
      <w:tr>
        <w:trPr>
          <w:trHeight w:val="3108"/>
        </w:trPr>
        <w:tc>
          <w:tcPr>
            <w:tcBorders>
              <w:top w:val="non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2.2</w:t>
            </w:r>
            <w:r>
              <w:rPr>
                <w:rFonts w:hint="eastAsia" w:ascii="仿宋" w:hAnsi="仿宋" w:eastAsia="仿宋" w:cs="仿宋"/>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项目工程施工方案及质量保证措施</w:t>
            </w:r>
            <w:r>
              <w:rPr>
                <w:rFonts w:hint="eastAsia" w:ascii="仿宋" w:hAnsi="仿宋" w:eastAsia="仿宋" w:cs="仿宋"/>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根据供应商提供的</w:t>
            </w:r>
            <w:r>
              <w:rPr>
                <w:rFonts w:hint="eastAsia" w:ascii="仿宋" w:hAnsi="仿宋" w:eastAsia="仿宋" w:cs="仿宋"/>
                <w:color w:val="000000"/>
                <w:sz w:val="21"/>
                <w:szCs w:val="21"/>
                <w:highlight w:val="none"/>
                <w:lang w:val="en-US" w:eastAsia="zh-CN"/>
              </w:rPr>
              <w:t xml:space="preserve">施工方案和</w:t>
            </w:r>
            <w:r>
              <w:rPr>
                <w:rFonts w:hint="eastAsia" w:ascii="仿宋" w:hAnsi="仿宋" w:eastAsia="仿宋" w:cs="仿宋"/>
                <w:color w:val="000000"/>
                <w:sz w:val="21"/>
                <w:szCs w:val="21"/>
                <w:highlight w:val="none"/>
              </w:rPr>
              <w:t xml:space="preserve">施工质量控制措施科学、合理、全面、可行且采用的新技术、新工艺可靠性强等进行评分：</w:t>
            </w:r>
            <w:r>
              <w:rPr>
                <w:rFonts w:hint="eastAsia" w:ascii="仿宋" w:hAnsi="仿宋" w:eastAsia="仿宋" w:cs="仿宋"/>
                <w:color w:val="000000"/>
                <w:sz w:val="21"/>
                <w:szCs w:val="21"/>
                <w:highlight w:val="none"/>
              </w:rPr>
            </w:r>
            <w:r/>
          </w:p>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施工方案和</w:t>
            </w:r>
            <w:r>
              <w:rPr>
                <w:rFonts w:hint="eastAsia" w:ascii="仿宋" w:hAnsi="仿宋" w:eastAsia="仿宋" w:cs="仿宋"/>
                <w:color w:val="000000"/>
                <w:sz w:val="21"/>
                <w:szCs w:val="21"/>
                <w:highlight w:val="none"/>
              </w:rPr>
              <w:t xml:space="preserve">质量保证措施科学、合理、全面、可行且采用的新技术、新工艺可靠性强的得5分；</w:t>
            </w:r>
            <w:r>
              <w:rPr>
                <w:rFonts w:hint="eastAsia" w:ascii="仿宋" w:hAnsi="仿宋" w:eastAsia="仿宋" w:cs="仿宋"/>
                <w:color w:val="000000"/>
                <w:sz w:val="21"/>
                <w:szCs w:val="21"/>
                <w:highlight w:val="none"/>
                <w:lang w:val="en-US" w:eastAsia="zh-CN"/>
              </w:rPr>
              <w:t xml:space="preserve">施工方案和</w:t>
            </w:r>
            <w:r>
              <w:rPr>
                <w:rFonts w:hint="eastAsia" w:ascii="仿宋" w:hAnsi="仿宋" w:eastAsia="仿宋" w:cs="仿宋"/>
                <w:color w:val="000000"/>
                <w:sz w:val="21"/>
                <w:szCs w:val="21"/>
                <w:highlight w:val="none"/>
              </w:rPr>
              <w:t xml:space="preserve">质量保证措施较为科学、合理、全面、可行且采用的新技术、新工艺可靠性较强的得3分；</w:t>
            </w:r>
            <w:r>
              <w:rPr>
                <w:rFonts w:hint="eastAsia" w:ascii="仿宋" w:hAnsi="仿宋" w:eastAsia="仿宋" w:cs="仿宋"/>
                <w:color w:val="000000"/>
                <w:sz w:val="21"/>
                <w:szCs w:val="21"/>
                <w:highlight w:val="none"/>
                <w:lang w:val="en-US" w:eastAsia="zh-CN"/>
              </w:rPr>
              <w:t xml:space="preserve">施工方案和</w:t>
            </w:r>
            <w:r>
              <w:rPr>
                <w:rFonts w:hint="eastAsia" w:ascii="仿宋" w:hAnsi="仿宋" w:eastAsia="仿宋" w:cs="仿宋"/>
                <w:color w:val="000000"/>
                <w:sz w:val="21"/>
                <w:szCs w:val="21"/>
                <w:highlight w:val="none"/>
              </w:rPr>
              <w:t xml:space="preserve">质量保证措施不太科学、合理、全面、可行且采用的新技术、新工艺可靠性不强的得1分；没有不得分。</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主观分</w:t>
            </w:r>
            <w:r>
              <w:rPr>
                <w:rFonts w:hint="eastAsia" w:ascii="仿宋" w:hAnsi="仿宋" w:eastAsia="仿宋" w:cs="仿宋"/>
                <w:color w:val="000000"/>
                <w:sz w:val="21"/>
                <w:szCs w:val="21"/>
                <w:highlight w:val="none"/>
              </w:rPr>
            </w:r>
            <w:r/>
          </w:p>
        </w:tc>
      </w:tr>
      <w:tr>
        <w:trPr>
          <w:trHeight w:val="2179"/>
        </w:trPr>
        <w:tc>
          <w:tcPr>
            <w:tcBorders>
              <w:top w:val="non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项目工期安排</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根据供应商针对本项目实施关键线路的清晰性、施工进度计划编制的完整性、合理性及可行等进行评分：</w:t>
            </w:r>
            <w:r>
              <w:rPr>
                <w:rFonts w:hint="eastAsia" w:ascii="仿宋" w:hAnsi="仿宋" w:eastAsia="仿宋" w:cs="仿宋"/>
                <w:color w:val="000000"/>
                <w:sz w:val="21"/>
                <w:szCs w:val="21"/>
                <w:highlight w:val="none"/>
              </w:rPr>
            </w:r>
            <w:r/>
          </w:p>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进度计划和进度保证措施清晰、完整、合理得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分；进度计划和进度保证措施较为清晰、完整、合理得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分；进度计划和进度保证措施不太清晰、完整、合理得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分；没有不得分。</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主观分</w:t>
            </w:r>
            <w:r>
              <w:rPr>
                <w:rFonts w:hint="eastAsia" w:ascii="仿宋" w:hAnsi="仿宋" w:eastAsia="仿宋" w:cs="仿宋"/>
                <w:color w:val="000000"/>
                <w:sz w:val="21"/>
                <w:szCs w:val="21"/>
                <w:highlight w:val="none"/>
              </w:rPr>
            </w:r>
            <w:r/>
          </w:p>
        </w:tc>
      </w:tr>
      <w:tr>
        <w:trPr>
          <w:trHeight w:val="2488"/>
        </w:trPr>
        <w:tc>
          <w:tcPr>
            <w:tcBorders>
              <w:top w:val="non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施工重点及难点描述</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根据供应商针对本项目关键施工技术的难点、重点的分析及针对性合理化建议（措施）的科学性、可行性、全面性、针对性及有效性等进行评分：</w:t>
            </w:r>
            <w:r>
              <w:rPr>
                <w:rFonts w:hint="eastAsia" w:ascii="仿宋" w:hAnsi="仿宋" w:eastAsia="仿宋" w:cs="仿宋"/>
                <w:color w:val="000000"/>
                <w:sz w:val="21"/>
                <w:szCs w:val="21"/>
                <w:highlight w:val="none"/>
              </w:rPr>
            </w:r>
            <w:r/>
          </w:p>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针对本项目关键施工技术的难点、重点的分析及针对性合理化建议（措施）科学、可行、全面、针对性强的得</w:t>
            </w: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分；较为科学、可行、全面、针对性较强的得</w:t>
            </w: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分；不太科学、可行、全面、针对性不强的得</w:t>
            </w: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分；没有不得分。</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主观分</w:t>
            </w:r>
            <w:r>
              <w:rPr>
                <w:rFonts w:hint="eastAsia" w:ascii="仿宋" w:hAnsi="仿宋" w:eastAsia="仿宋" w:cs="仿宋"/>
                <w:color w:val="000000"/>
                <w:sz w:val="21"/>
                <w:szCs w:val="21"/>
                <w:highlight w:val="none"/>
              </w:rPr>
            </w:r>
            <w:r/>
          </w:p>
        </w:tc>
      </w:tr>
      <w:tr>
        <w:trPr>
          <w:trHeight w:val="3108"/>
        </w:trPr>
        <w:tc>
          <w:tcPr>
            <w:tcBorders>
              <w:top w:val="non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安全文明施工及环境保护措施项目</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根据供应商提供的针对本项目安全文明施工</w:t>
            </w:r>
            <w:r>
              <w:rPr>
                <w:rFonts w:hint="eastAsia" w:ascii="仿宋" w:hAnsi="仿宋" w:eastAsia="仿宋" w:cs="仿宋"/>
                <w:color w:val="000000"/>
                <w:sz w:val="21"/>
                <w:szCs w:val="21"/>
                <w:highlight w:val="none"/>
                <w:lang w:val="en-US" w:eastAsia="zh-CN"/>
              </w:rPr>
              <w:t xml:space="preserve">及环境保护</w:t>
            </w:r>
            <w:r>
              <w:rPr>
                <w:rFonts w:hint="eastAsia" w:ascii="仿宋" w:hAnsi="仿宋" w:eastAsia="仿宋" w:cs="仿宋"/>
                <w:color w:val="000000"/>
                <w:sz w:val="21"/>
                <w:szCs w:val="21"/>
                <w:highlight w:val="none"/>
              </w:rPr>
              <w:t xml:space="preserve">采取措施的规范性、全面性、合理性、针对性、具体性、可靠性、及操作规程科学性等进行评分：</w:t>
            </w:r>
            <w:r>
              <w:rPr>
                <w:rFonts w:hint="eastAsia" w:ascii="仿宋" w:hAnsi="仿宋" w:eastAsia="仿宋" w:cs="仿宋"/>
                <w:color w:val="000000"/>
                <w:sz w:val="21"/>
                <w:szCs w:val="21"/>
                <w:highlight w:val="none"/>
              </w:rPr>
            </w:r>
            <w:r/>
          </w:p>
          <w:p>
            <w:pPr>
              <w:pStyle w:val="976"/>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安全文明施工</w:t>
            </w:r>
            <w:r>
              <w:rPr>
                <w:rFonts w:hint="eastAsia" w:ascii="仿宋" w:hAnsi="仿宋" w:eastAsia="仿宋" w:cs="仿宋"/>
                <w:color w:val="000000"/>
                <w:sz w:val="21"/>
                <w:szCs w:val="21"/>
                <w:highlight w:val="none"/>
                <w:lang w:val="en-US" w:eastAsia="zh-CN"/>
              </w:rPr>
              <w:t xml:space="preserve">及环境保护</w:t>
            </w:r>
            <w:r>
              <w:rPr>
                <w:rFonts w:hint="eastAsia" w:ascii="仿宋" w:hAnsi="仿宋" w:eastAsia="仿宋" w:cs="仿宋"/>
                <w:color w:val="000000"/>
                <w:sz w:val="21"/>
                <w:szCs w:val="21"/>
                <w:highlight w:val="none"/>
              </w:rPr>
              <w:t xml:space="preserve">措施方案规范、全面、合理、可靠、科学且针对性强的得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分；安全文明施工</w:t>
            </w:r>
            <w:r>
              <w:rPr>
                <w:rFonts w:hint="eastAsia" w:ascii="仿宋" w:hAnsi="仿宋" w:eastAsia="仿宋" w:cs="仿宋"/>
                <w:color w:val="000000"/>
                <w:sz w:val="21"/>
                <w:szCs w:val="21"/>
                <w:highlight w:val="none"/>
                <w:lang w:val="en-US" w:eastAsia="zh-CN"/>
              </w:rPr>
              <w:t xml:space="preserve">及环境保护</w:t>
            </w:r>
            <w:r>
              <w:rPr>
                <w:rFonts w:hint="eastAsia" w:ascii="仿宋" w:hAnsi="仿宋" w:eastAsia="仿宋" w:cs="仿宋"/>
                <w:color w:val="000000"/>
                <w:sz w:val="21"/>
                <w:szCs w:val="21"/>
                <w:highlight w:val="none"/>
              </w:rPr>
              <w:t xml:space="preserve">措施方案较为规范、全面、合理、可靠、科学且针对性较强的得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分；安全文明施工</w:t>
            </w:r>
            <w:r>
              <w:rPr>
                <w:rFonts w:hint="eastAsia" w:ascii="仿宋" w:hAnsi="仿宋" w:eastAsia="仿宋" w:cs="仿宋"/>
                <w:color w:val="000000"/>
                <w:sz w:val="21"/>
                <w:szCs w:val="21"/>
                <w:highlight w:val="none"/>
                <w:lang w:val="en-US" w:eastAsia="zh-CN"/>
              </w:rPr>
              <w:t xml:space="preserve">及环境保护</w:t>
            </w:r>
            <w:r>
              <w:rPr>
                <w:rFonts w:hint="eastAsia" w:ascii="仿宋" w:hAnsi="仿宋" w:eastAsia="仿宋" w:cs="仿宋"/>
                <w:color w:val="000000"/>
                <w:sz w:val="21"/>
                <w:szCs w:val="21"/>
                <w:highlight w:val="none"/>
              </w:rPr>
              <w:t xml:space="preserve">措施方案不太规范、全面、合理、可靠、科学且针对性不强的得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分；没有不得分。</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主观分</w:t>
            </w:r>
            <w:r>
              <w:rPr>
                <w:rFonts w:hint="eastAsia" w:ascii="仿宋" w:hAnsi="仿宋" w:eastAsia="仿宋" w:cs="仿宋"/>
                <w:color w:val="000000"/>
                <w:sz w:val="21"/>
                <w:szCs w:val="21"/>
                <w:highlight w:val="none"/>
              </w:rPr>
            </w:r>
            <w:r/>
          </w:p>
        </w:tc>
      </w:tr>
      <w:tr>
        <w:trPr>
          <w:trHeight w:val="326"/>
        </w:trPr>
        <w:tc>
          <w:tcPr>
            <w:gridSpan w:val="5"/>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三、类似业绩（</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tc>
      </w:tr>
      <w:tr>
        <w:trPr>
          <w:trHeight w:val="940"/>
        </w:trPr>
        <w:tc>
          <w:tcPr>
            <w:tcBorders>
              <w:top w:val="none" w:color="000000" w:sz="4" w:space="0"/>
              <w:left w:val="single" w:color="000000" w:sz="4" w:space="0"/>
              <w:bottom w:val="single" w:color="000000" w:sz="4" w:space="0"/>
              <w:right w:val="single" w:color="000000" w:sz="4" w:space="0"/>
            </w:tcBorders>
            <w:tcW w:w="412" w:type="dxa"/>
            <w:vAlign w:val="center"/>
            <w:vMerge w:val="restart"/>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w:t>
            </w: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424" w:type="dxa"/>
            <w:vAlign w:val="center"/>
            <w:vMerge w:val="restart"/>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类似</w:t>
            </w:r>
            <w:r>
              <w:rPr>
                <w:rFonts w:hint="eastAsia" w:ascii="仿宋" w:hAnsi="仿宋" w:eastAsia="仿宋" w:cs="仿宋"/>
                <w:color w:val="000000"/>
                <w:sz w:val="21"/>
                <w:szCs w:val="21"/>
                <w:highlight w:val="none"/>
              </w:rPr>
            </w:r>
            <w:r/>
          </w:p>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业绩</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4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自2019年1月1日（含）以来，企业完成过类似公共建筑室内装饰装修工程，</w:t>
            </w:r>
            <w:r>
              <w:rPr>
                <w:rFonts w:hint="eastAsia" w:ascii="仿宋" w:hAnsi="仿宋" w:eastAsia="仿宋" w:cs="仿宋"/>
                <w:color w:val="000000"/>
                <w:sz w:val="21"/>
                <w:szCs w:val="21"/>
                <w:highlight w:val="none"/>
                <w:lang w:val="en-US" w:eastAsia="zh-CN"/>
              </w:rPr>
              <w:t xml:space="preserve">0.5</w:t>
            </w:r>
            <w:r>
              <w:rPr>
                <w:rFonts w:hint="eastAsia" w:ascii="仿宋" w:hAnsi="仿宋" w:eastAsia="仿宋" w:cs="仿宋"/>
                <w:color w:val="000000"/>
                <w:sz w:val="21"/>
                <w:szCs w:val="21"/>
                <w:highlight w:val="none"/>
              </w:rPr>
              <w:t xml:space="preserve">分/个，满分</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906"/>
              <w:jc w:val="center"/>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r>
            <w:r/>
          </w:p>
        </w:tc>
        <w:tc>
          <w:tcPr>
            <w:tcBorders>
              <w:top w:val="none" w:color="000000" w:sz="4" w:space="0"/>
              <w:left w:val="single" w:color="000000" w:sz="4" w:space="0"/>
              <w:bottom w:val="single" w:color="000000" w:sz="4" w:space="0"/>
              <w:right w:val="single" w:color="000000" w:sz="4" w:space="0"/>
            </w:tcBorders>
            <w:tcW w:w="799" w:type="dxa"/>
            <w:vAlign w:val="center"/>
            <w:vMerge w:val="restart"/>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r>
      <w:tr>
        <w:trPr>
          <w:trHeight w:val="1281"/>
        </w:trPr>
        <w:tc>
          <w:tcPr>
            <w:tcBorders>
              <w:top w:val="none" w:color="000000" w:sz="4" w:space="0"/>
              <w:left w:val="single" w:color="000000" w:sz="4" w:space="0"/>
              <w:bottom w:val="single" w:color="000000" w:sz="4" w:space="0"/>
              <w:right w:val="single" w:color="000000" w:sz="4" w:space="0"/>
            </w:tcBorders>
            <w:tcW w:w="412" w:type="dxa"/>
            <w:vAlign w:val="center"/>
            <w:vMerge w:val="continue"/>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424" w:type="dxa"/>
            <w:vAlign w:val="center"/>
            <w:vMerge w:val="continue"/>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spacing w:line="32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须提供中标通知书、施工合同及竣工验收证明，复印件加盖公章，三者缺一不可；时间以竣工验收时间为准；所提供的证明材料必须能够反映相关数据和内容，否则视作未提供。</w:t>
            </w: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799" w:type="dxa"/>
            <w:vAlign w:val="center"/>
            <w:vMerge w:val="continue"/>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326"/>
        </w:trPr>
        <w:tc>
          <w:tcPr>
            <w:gridSpan w:val="5"/>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四、履约能力（</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tc>
      </w:tr>
      <w:tr>
        <w:trPr>
          <w:trHeight w:val="1588"/>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项目负责人</w:t>
            </w:r>
            <w:r>
              <w:rPr>
                <w:rFonts w:hint="eastAsia" w:ascii="仿宋" w:hAnsi="仿宋" w:eastAsia="仿宋" w:cs="仿宋"/>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项目负责人具有中级及以上工程师职称得</w:t>
            </w:r>
            <w:r>
              <w:rPr>
                <w:rFonts w:hint="eastAsia" w:ascii="仿宋" w:hAnsi="仿宋" w:eastAsia="仿宋" w:cs="仿宋"/>
                <w:color w:val="000000"/>
                <w:sz w:val="21"/>
                <w:szCs w:val="21"/>
                <w:highlight w:val="none"/>
                <w:lang w:val="en-US" w:eastAsia="zh-CN"/>
              </w:rPr>
              <w:t xml:space="preserve">0.5</w:t>
            </w:r>
            <w:r>
              <w:rPr>
                <w:rFonts w:hint="eastAsia" w:ascii="仿宋" w:hAnsi="仿宋" w:eastAsia="仿宋" w:cs="仿宋"/>
                <w:color w:val="000000"/>
                <w:sz w:val="21"/>
                <w:szCs w:val="21"/>
                <w:highlight w:val="none"/>
              </w:rPr>
              <w:t xml:space="preserve">分，否则不得分。（提供职称证书及</w:t>
            </w:r>
            <w:r>
              <w:rPr>
                <w:rFonts w:hint="eastAsia" w:ascii="仿宋" w:hAnsi="仿宋" w:eastAsia="仿宋" w:cs="仿宋"/>
                <w:color w:val="000000"/>
                <w:sz w:val="21"/>
                <w:szCs w:val="21"/>
                <w:highlight w:val="none"/>
                <w:lang w:val="en-US" w:eastAsia="zh-CN"/>
              </w:rPr>
              <w:t xml:space="preserve">劳动</w:t>
            </w:r>
            <w:r>
              <w:rPr>
                <w:rFonts w:hint="eastAsia" w:ascii="仿宋" w:hAnsi="仿宋" w:eastAsia="仿宋" w:cs="仿宋"/>
                <w:color w:val="000000"/>
                <w:sz w:val="21"/>
                <w:szCs w:val="21"/>
                <w:highlight w:val="none"/>
              </w:rPr>
              <w:t xml:space="preserve">合同等相应证明材料扫描件并加盖公章；并提供</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为其缴纳的2025年5月1日（含）以来任意1个月的社保缴费证明材料并加盖公章，未提供的不得分）</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0.5</w:t>
            </w:r>
            <w:r>
              <w:rPr>
                <w:rFonts w:hint="eastAsia" w:ascii="仿宋" w:hAnsi="仿宋" w:eastAsia="仿宋" w:cs="仿宋"/>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r>
      <w:tr>
        <w:trPr>
          <w:trHeight w:val="3108"/>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项目组成员</w:t>
            </w:r>
            <w:r>
              <w:rPr>
                <w:rFonts w:hint="eastAsia" w:ascii="仿宋" w:hAnsi="仿宋" w:eastAsia="仿宋" w:cs="仿宋"/>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投入本项目的团队成员（不包含项目负责人），其中：现场服务团队：</w:t>
            </w:r>
            <w:r>
              <w:rPr>
                <w:rFonts w:hint="eastAsia" w:ascii="仿宋" w:hAnsi="仿宋" w:eastAsia="仿宋" w:cs="仿宋"/>
                <w:color w:val="000000"/>
                <w:sz w:val="21"/>
                <w:szCs w:val="21"/>
                <w:highlight w:val="none"/>
                <w:lang w:val="en-US" w:eastAsia="zh-CN"/>
              </w:rPr>
              <w:t xml:space="preserve">高级工程师1</w:t>
            </w:r>
            <w:r>
              <w:rPr>
                <w:rFonts w:hint="eastAsia" w:ascii="仿宋" w:hAnsi="仿宋" w:eastAsia="仿宋" w:cs="仿宋"/>
                <w:color w:val="000000"/>
                <w:sz w:val="21"/>
                <w:szCs w:val="21"/>
                <w:highlight w:val="none"/>
              </w:rPr>
              <w:t xml:space="preserve">名得</w:t>
            </w:r>
            <w:r>
              <w:rPr>
                <w:rFonts w:hint="eastAsia" w:ascii="仿宋" w:hAnsi="仿宋" w:eastAsia="仿宋" w:cs="仿宋"/>
                <w:color w:val="000000"/>
                <w:sz w:val="21"/>
                <w:szCs w:val="21"/>
                <w:highlight w:val="none"/>
                <w:lang w:val="en-US" w:eastAsia="zh-CN"/>
              </w:rPr>
              <w:t xml:space="preserve">0.2</w:t>
            </w:r>
            <w:r>
              <w:rPr>
                <w:rFonts w:hint="eastAsia" w:ascii="仿宋" w:hAnsi="仿宋" w:eastAsia="仿宋" w:cs="仿宋"/>
                <w:color w:val="000000"/>
                <w:sz w:val="21"/>
                <w:szCs w:val="21"/>
                <w:highlight w:val="none"/>
              </w:rPr>
              <w:t xml:space="preserve">分；电工1名得0.</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分，现场专职安全员（C证）得0.</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分；本项团队配置每个人员类别无论安排几名，最多只按1名计分，本项最多得</w:t>
            </w:r>
            <w:r>
              <w:rPr>
                <w:rFonts w:hint="eastAsia" w:ascii="仿宋" w:hAnsi="仿宋" w:eastAsia="仿宋" w:cs="仿宋"/>
                <w:color w:val="000000"/>
                <w:sz w:val="21"/>
                <w:szCs w:val="21"/>
                <w:highlight w:val="none"/>
                <w:lang w:val="en-US" w:eastAsia="zh-CN"/>
              </w:rPr>
              <w:t xml:space="preserve">0.5</w:t>
            </w:r>
            <w:r>
              <w:rPr>
                <w:rFonts w:hint="eastAsia" w:ascii="仿宋" w:hAnsi="仿宋" w:eastAsia="仿宋" w:cs="仿宋"/>
                <w:color w:val="000000"/>
                <w:sz w:val="21"/>
                <w:szCs w:val="21"/>
                <w:highlight w:val="none"/>
              </w:rPr>
              <w:t xml:space="preserve">分。（上述项目组成员同一人不得多专业重复计分，持有多个证书的只按其中1个计分。</w:t>
            </w:r>
            <w:r>
              <w:rPr>
                <w:rFonts w:hint="eastAsia" w:ascii="仿宋" w:hAnsi="仿宋" w:eastAsia="仿宋" w:cs="仿宋"/>
                <w:color w:val="000000"/>
                <w:sz w:val="21"/>
                <w:szCs w:val="21"/>
                <w:highlight w:val="none"/>
                <w:lang w:val="en-US" w:eastAsia="zh-CN"/>
              </w:rPr>
              <w:t xml:space="preserve">且</w:t>
            </w:r>
            <w:r>
              <w:rPr>
                <w:rFonts w:hint="eastAsia" w:ascii="仿宋" w:hAnsi="仿宋" w:eastAsia="仿宋" w:cs="仿宋"/>
                <w:color w:val="000000"/>
                <w:sz w:val="21"/>
                <w:szCs w:val="21"/>
                <w:highlight w:val="none"/>
              </w:rPr>
              <w:t xml:space="preserve">所有人员均需提供有效的证书扫描件和供应商为其缴纳的202</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月1日（含）以来任意1个月的社保缴费证明材料并加盖公章。）</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0.5</w:t>
            </w:r>
            <w:r>
              <w:rPr>
                <w:rFonts w:hint="eastAsia" w:ascii="仿宋" w:hAnsi="仿宋" w:eastAsia="仿宋" w:cs="仿宋"/>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合计</w:t>
            </w:r>
            <w:r>
              <w:rPr>
                <w:rFonts w:hint="eastAsia" w:ascii="仿宋" w:hAnsi="仿宋" w:eastAsia="仿宋" w:cs="仿宋"/>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4"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884"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78" w:type="dxa"/>
            <w:vAlign w:val="center"/>
            <w:textDirection w:val="lrTb"/>
            <w:noWrap w:val="false"/>
          </w:tcPr>
          <w:p>
            <w:pPr>
              <w:pStyle w:val="906"/>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100</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val="false"/>
          </w:tcPr>
          <w:p>
            <w:pPr>
              <w:pStyle w:val="906"/>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r>
    </w:tbl>
    <w:p>
      <w:pPr>
        <w:pStyle w:val="906"/>
        <w:ind w:firstLine="480"/>
        <w:jc w:val="left"/>
        <w:spacing w:line="360" w:lineRule="auto"/>
        <w:rPr>
          <w:rFonts w:hint="eastAsia" w:ascii="仿宋" w:hAnsi="仿宋" w:eastAsia="仿宋" w:cs="仿宋"/>
          <w:color w:val="000000"/>
          <w:sz w:val="24"/>
          <w:szCs w:val="24"/>
          <w:highlight w:val="none"/>
        </w:rPr>
      </w:pPr>
      <w:r/>
      <w:bookmarkStart w:id="147" w:name="_Toc40097739"/>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1、含有公共建筑装修或装修改造工程的施工总承包或工程总承包（单独的公共建筑装修或装修改造工程总承包除外）项目不得作为类似工程施工业绩。</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、小微型企业价格扣除</w:t>
      </w:r>
      <w:r>
        <w:rPr>
          <w:rFonts w:hint="eastAsia" w:ascii="仿宋" w:hAnsi="仿宋" w:eastAsia="仿宋" w:cs="仿宋"/>
          <w:color w:val="000000"/>
          <w:sz w:val="24"/>
          <w:szCs w:val="24"/>
          <w:highlight w:val="none"/>
          <w:lang w:val="zh-CN"/>
        </w:rPr>
      </w:r>
      <w:r/>
    </w:p>
    <w:p>
      <w:pPr>
        <w:pStyle w:val="906"/>
        <w:ind w:firstLine="480"/>
        <w:jc w:val="left"/>
        <w:keepLines w:val="0"/>
        <w:keepNext w:val="0"/>
        <w:pageBreakBefore w:val="0"/>
        <w:spacing w:beforeAutospacing="0" w:afterAutospacing="0"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本项目专门面向中小企业采购，供应商应为中小微企业或监狱企业或残疾人福利性单位，</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需按照采购文件的要求提供相应的《</w:t>
      </w:r>
      <w:r>
        <w:rPr>
          <w:rFonts w:hint="eastAsia" w:ascii="仿宋" w:hAnsi="仿宋" w:eastAsia="仿宋" w:cs="仿宋"/>
          <w:color w:val="000000"/>
          <w:sz w:val="24"/>
          <w:szCs w:val="24"/>
          <w:highlight w:val="none"/>
          <w:lang w:val="zh-CN" w:eastAsia="zh-CN" w:bidi="ar-SA"/>
        </w:rPr>
        <w:t xml:space="preserve">中小企业声明函</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906"/>
        <w:ind w:firstLine="369"/>
        <w:spacing w:line="360" w:lineRule="auto"/>
        <w:shd w:val="clear" w:color="auto" w:fill="ffffff"/>
        <w:widowControl/>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本项目标的所属行业：</w:t>
      </w:r>
      <w:r>
        <w:rPr>
          <w:rFonts w:hint="eastAsia" w:ascii="仿宋" w:hAnsi="仿宋" w:eastAsia="仿宋" w:cs="仿宋"/>
          <w:bCs/>
          <w:color w:val="000000"/>
          <w:sz w:val="24"/>
          <w:szCs w:val="24"/>
          <w:highlight w:val="none"/>
          <w:lang w:val="en-US" w:eastAsia="zh-CN"/>
        </w:rPr>
        <w:t xml:space="preserve">建筑业</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lang w:val="zh-CN"/>
        </w:rPr>
        <w:t xml:space="preserve">根据《中小企业划型标准规定》工信部联企业</w:t>
      </w:r>
      <w:r>
        <w:rPr>
          <w:rFonts w:hint="eastAsia" w:ascii="仿宋" w:hAnsi="仿宋" w:eastAsia="仿宋" w:cs="仿宋"/>
          <w:color w:val="000000"/>
          <w:sz w:val="24"/>
          <w:szCs w:val="24"/>
          <w:highlight w:val="none"/>
          <w:lang w:val="zh-CN" w:eastAsia="zh-CN"/>
        </w:rPr>
        <w:t xml:space="preserve">〔2011〕300号</w:t>
      </w:r>
      <w:r>
        <w:rPr>
          <w:rFonts w:hint="eastAsia" w:ascii="仿宋" w:hAnsi="仿宋" w:eastAsia="仿宋" w:cs="仿宋"/>
          <w:color w:val="000000"/>
          <w:sz w:val="24"/>
          <w:szCs w:val="24"/>
          <w:highlight w:val="none"/>
          <w:lang w:val="zh-CN"/>
        </w:rPr>
        <w:t xml:space="preserve">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 w:val="24"/>
          <w:szCs w:val="24"/>
          <w:highlight w:val="none"/>
          <w:lang w:val="zh-CN" w:eastAsia="zh-CN" w:bidi="ar-SA"/>
        </w:rPr>
      </w:r>
      <w:r/>
    </w:p>
    <w:p>
      <w:pPr>
        <w:pStyle w:val="980"/>
        <w:ind w:left="0" w:firstLine="48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zh-CN" w:eastAsia="zh-CN" w:bidi="ar-SA"/>
        </w:rPr>
        <w:suppressLineNumbers w:val="0"/>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zh-CN" w:eastAsia="zh-CN" w:bidi="ar-SA"/>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lang w:val="zh-CN" w:eastAsia="zh-CN" w:bidi="ar-SA"/>
        </w:rPr>
      </w:r>
      <w:r/>
    </w:p>
    <w:p>
      <w:pPr>
        <w:pStyle w:val="980"/>
        <w:ind w:left="0" w:firstLine="48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zh-CN" w:eastAsia="zh-CN" w:bidi="ar-SA"/>
        </w:rPr>
        <w:suppressLineNumbers w:val="0"/>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zh-CN" w:eastAsia="zh-CN" w:bidi="ar-SA"/>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lang w:val="zh-CN" w:eastAsia="zh-CN" w:bidi="ar-SA"/>
        </w:rPr>
      </w:r>
      <w:r/>
    </w:p>
    <w:p>
      <w:pPr>
        <w:pStyle w:val="980"/>
        <w:ind w:left="0" w:firstLine="48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zh-CN" w:eastAsia="zh-CN" w:bidi="ar-SA"/>
        </w:rPr>
        <w:suppressLineNumbers w:val="0"/>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zh-CN" w:eastAsia="zh-CN" w:bidi="ar-SA"/>
        </w:rPr>
        <w:t xml:space="preserve">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zh-CN" w:eastAsia="zh-CN" w:bidi="ar-SA"/>
        </w:rPr>
      </w:r>
      <w:r/>
    </w:p>
    <w:p>
      <w:pPr>
        <w:pStyle w:val="980"/>
        <w:ind w:left="0" w:firstLine="480"/>
        <w:jc w:val="left"/>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zh-CN" w:eastAsia="zh-CN" w:bidi="ar-SA"/>
        </w:rPr>
        <w:suppressLineNumbers w:val="0"/>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zh-CN" w:eastAsia="zh-CN" w:bidi="ar-SA"/>
        </w:rPr>
        <w:t xml:space="preserve">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color w:val="000000"/>
          <w:sz w:val="24"/>
          <w:szCs w:val="24"/>
          <w:highlight w:val="none"/>
          <w:lang w:val="zh-CN" w:eastAsia="zh-CN" w:bidi="ar-SA"/>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所有认证、证明和业绩均以有效的证明文件的复印件为依据（要求提供原件核查的除外）。</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、所有实质性要求不得负偏离。</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磋商小组</w:t>
      </w:r>
      <w:r>
        <w:rPr>
          <w:rFonts w:hint="eastAsia" w:ascii="仿宋" w:hAnsi="仿宋" w:eastAsia="仿宋" w:cs="仿宋"/>
          <w:color w:val="000000"/>
          <w:sz w:val="24"/>
          <w:szCs w:val="24"/>
          <w:highlight w:val="none"/>
          <w:lang w:val="zh-CN"/>
        </w:rPr>
        <w:t xml:space="preserve">不保证有效报价最低的</w:t>
      </w:r>
      <w:r>
        <w:rPr>
          <w:rFonts w:hint="eastAsia" w:ascii="仿宋" w:hAnsi="仿宋" w:eastAsia="仿宋" w:cs="仿宋"/>
          <w:color w:val="000000"/>
          <w:sz w:val="24"/>
          <w:szCs w:val="24"/>
          <w:highlight w:val="none"/>
        </w:rPr>
        <w:t xml:space="preserve">供应商成交</w:t>
      </w:r>
      <w:r>
        <w:rPr>
          <w:rFonts w:hint="eastAsia" w:ascii="仿宋" w:hAnsi="仿宋" w:eastAsia="仿宋" w:cs="仿宋"/>
          <w:color w:val="000000"/>
          <w:sz w:val="24"/>
          <w:szCs w:val="24"/>
          <w:highlight w:val="none"/>
          <w:lang w:val="zh-CN"/>
        </w:rPr>
        <w:t xml:space="preserve">。如果评审分数畸高、畸低的，应详细说明理由。</w:t>
      </w:r>
      <w:r>
        <w:rPr>
          <w:rFonts w:hint="eastAsia" w:ascii="仿宋" w:hAnsi="仿宋" w:eastAsia="仿宋" w:cs="仿宋"/>
          <w:color w:val="000000"/>
          <w:sz w:val="24"/>
          <w:szCs w:val="24"/>
          <w:highlight w:val="none"/>
          <w:lang w:val="zh-CN"/>
        </w:rPr>
      </w:r>
      <w:r/>
    </w:p>
    <w:p>
      <w:pPr>
        <w:pStyle w:val="906"/>
        <w:ind w:firstLine="4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、若</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提供虚假资料，一经查实作无效投标处理。</w:t>
      </w:r>
      <w:r>
        <w:rPr>
          <w:rFonts w:hint="eastAsia" w:ascii="仿宋" w:hAnsi="仿宋" w:eastAsia="仿宋" w:cs="仿宋"/>
          <w:color w:val="000000"/>
          <w:sz w:val="24"/>
          <w:szCs w:val="24"/>
          <w:highlight w:val="none"/>
          <w:lang w:val="zh-CN"/>
        </w:rPr>
      </w:r>
      <w:r/>
    </w:p>
    <w:p>
      <w:pPr>
        <w:pStyle w:val="982"/>
        <w:spacing w:line="360" w:lineRule="auto"/>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zh-CN"/>
        </w:rPr>
        <w:br w:type="page" w:clear="all"/>
      </w:r>
      <w:bookmarkStart w:id="148" w:name="_Toc21939"/>
      <w:r>
        <w:rPr>
          <w:rFonts w:hint="eastAsia" w:ascii="仿宋" w:hAnsi="仿宋" w:eastAsia="仿宋" w:cs="仿宋"/>
          <w:color w:val="000000"/>
          <w:highlight w:val="none"/>
          <w:lang w:val="zh-CN"/>
        </w:rPr>
        <w:t xml:space="preserve">第四章 </w:t>
      </w:r>
      <w:bookmarkEnd w:id="147"/>
      <w:r>
        <w:rPr>
          <w:rFonts w:hint="eastAsia" w:ascii="仿宋" w:hAnsi="仿宋" w:eastAsia="仿宋" w:cs="仿宋"/>
          <w:color w:val="000000"/>
          <w:highlight w:val="none"/>
        </w:rPr>
        <w:t xml:space="preserve">采购需求</w:t>
      </w:r>
      <w:bookmarkEnd w:id="148"/>
      <w:r>
        <w:rPr>
          <w:rFonts w:hint="eastAsia" w:ascii="仿宋" w:hAnsi="仿宋" w:eastAsia="仿宋" w:cs="仿宋"/>
          <w:color w:val="000000"/>
          <w:highlight w:val="none"/>
        </w:rPr>
      </w:r>
      <w:r/>
    </w:p>
    <w:p>
      <w:pPr>
        <w:pStyle w:val="906"/>
        <w:ind w:firstLine="480"/>
        <w:jc w:val="left"/>
        <w:spacing w:line="480" w:lineRule="exact"/>
        <w:widowControl/>
        <w:rPr>
          <w:rFonts w:hint="eastAsia" w:ascii="仿宋" w:hAnsi="仿宋" w:eastAsia="仿宋" w:cs="仿宋"/>
          <w:color w:val="000000"/>
          <w:sz w:val="24"/>
          <w:szCs w:val="24"/>
          <w:highlight w:val="none"/>
          <w:lang w:bidi="ar"/>
        </w:rPr>
      </w:pPr>
      <w:r/>
      <w:bookmarkStart w:id="149" w:name="_Hlk121847144"/>
      <w:r/>
      <w:bookmarkStart w:id="150" w:name="_Toc20823315"/>
      <w:r/>
      <w:bookmarkStart w:id="151" w:name="_Toc513029243"/>
      <w:r/>
      <w:bookmarkStart w:id="152" w:name="_Toc45210851"/>
      <w:r/>
      <w:bookmarkStart w:id="153" w:name="_Toc16938559"/>
      <w:r>
        <w:rPr>
          <w:rFonts w:hint="eastAsia" w:ascii="仿宋" w:hAnsi="仿宋" w:eastAsia="仿宋" w:cs="仿宋"/>
          <w:color w:val="000000"/>
          <w:sz w:val="24"/>
          <w:szCs w:val="24"/>
          <w:highlight w:val="none"/>
          <w:lang w:bidi="ar"/>
        </w:rPr>
        <w:t xml:space="preserve">一、项目概况</w:t>
      </w:r>
      <w:r>
        <w:rPr>
          <w:rFonts w:hint="eastAsia" w:ascii="仿宋" w:hAnsi="仿宋" w:eastAsia="仿宋" w:cs="仿宋"/>
          <w:color w:val="000000"/>
          <w:sz w:val="24"/>
          <w:szCs w:val="24"/>
          <w:highlight w:val="none"/>
          <w:lang w:bidi="ar"/>
        </w:rPr>
      </w:r>
      <w:r/>
    </w:p>
    <w:p>
      <w:pPr>
        <w:pStyle w:val="906"/>
        <w:ind w:firstLine="480"/>
        <w:jc w:val="left"/>
        <w:spacing w:line="48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1、项目名称：紫金山实验室双紧缩场精装修工程</w:t>
      </w:r>
      <w:r>
        <w:rPr>
          <w:rFonts w:hint="eastAsia" w:ascii="仿宋" w:hAnsi="仿宋" w:eastAsia="仿宋" w:cs="仿宋"/>
          <w:color w:val="000000"/>
          <w:sz w:val="24"/>
          <w:szCs w:val="24"/>
          <w:highlight w:val="none"/>
          <w:lang w:bidi="ar"/>
        </w:rPr>
      </w:r>
      <w:r/>
    </w:p>
    <w:p>
      <w:pPr>
        <w:pStyle w:val="906"/>
        <w:ind w:firstLine="480"/>
        <w:jc w:val="left"/>
        <w:spacing w:line="480" w:lineRule="exact"/>
        <w:widowControl/>
        <w:rPr>
          <w:rFonts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项目背景：为服务国际一流实验室建设，满足当前业界对于无人机、飞鸟等双站测试的迫切需求，目标为建设国际领先的“通感一体化双紧缩场测试系统”。因此本项目将对实验室进行装修改造，完善“通感一体化双紧缩场测试系统”的使用环境。</w:t>
      </w:r>
      <w:r>
        <w:rPr>
          <w:rFonts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二、合同履行期限（工期）：合同签订后75个日历天施工完成并验收合格。</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三、建设内容：紫金山实验室双紧缩场精装修工程，具体要求详见竞争性磋商文件、图纸和工程量清单。</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四、采购要求</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供应商须按磋商文件及相关附件（如图纸、工程量清单、报价说明等）具体要求执行。</w:t>
      </w:r>
      <w:r>
        <w:rPr>
          <w:rFonts w:hint="eastAsia" w:ascii="仿宋" w:hAnsi="仿宋" w:eastAsia="仿宋" w:cs="仿宋"/>
          <w:color w:val="000000"/>
          <w:sz w:val="24"/>
          <w:szCs w:val="24"/>
          <w:highlight w:val="none"/>
          <w:lang w:bidi="ar"/>
        </w:rPr>
      </w:r>
      <w:r/>
    </w:p>
    <w:p>
      <w:pPr>
        <w:pStyle w:val="906"/>
        <w:ind w:firstLine="42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highlight w:val="none"/>
        </w:rPr>
        <w:t xml:space="preserve">★</w:t>
      </w:r>
      <w:r>
        <w:rPr>
          <w:rFonts w:hint="eastAsia" w:ascii="仿宋" w:hAnsi="仿宋" w:eastAsia="仿宋" w:cs="仿宋"/>
          <w:color w:val="000000"/>
          <w:sz w:val="24"/>
          <w:szCs w:val="24"/>
          <w:highlight w:val="none"/>
          <w:lang w:bidi="ar"/>
        </w:rPr>
        <w:t xml:space="preserve">（一）工程量清单</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1.工程量清单说明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1.1 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1.2 本工程量清单应与采购文件中的供应商须知、通用合同条款、专用合同条款、技术标准和要求及图纸等一起阅读和理解。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1.3 本工程量清单仅是投标报价的共同基础，实际工程计量和工程价款的支付应遵循合同条款的约定和本章“技术规范及要求 ”的有关规定。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1.4 补充子目工程量计算规则及子目工作内容说明：/。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1.5 本工程质量创建目标及按质论价费用计取标准：</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工程类别：建筑工程；</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创建目标：无；</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计税方法：一般计税；</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计取标准：详见工程量清单（另附）。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2.投标报价说明及要求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2.1 工程量清单中的每一子目须填入单价或价格，且只允许有一个报价。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val="zh-CN" w:bidi="ar"/>
        </w:rPr>
      </w:pPr>
      <w:r>
        <w:rPr>
          <w:rFonts w:hint="eastAsia" w:ascii="仿宋" w:hAnsi="仿宋" w:eastAsia="仿宋" w:cs="仿宋"/>
          <w:color w:val="000000"/>
          <w:sz w:val="24"/>
          <w:szCs w:val="24"/>
          <w:highlight w:val="none"/>
          <w:lang w:bidi="ar"/>
        </w:rPr>
        <w:t xml:space="preserve">2.2 </w:t>
      </w:r>
      <w:r>
        <w:rPr>
          <w:rFonts w:hint="eastAsia" w:ascii="仿宋" w:hAnsi="仿宋" w:eastAsia="仿宋" w:cs="仿宋"/>
          <w:color w:val="000000"/>
          <w:sz w:val="24"/>
          <w:szCs w:val="24"/>
          <w:highlight w:val="none"/>
          <w:lang w:val="zh-CN" w:bidi="ar"/>
        </w:rPr>
        <w:t xml:space="preserve">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以及合同明示或暗示的风险、责任和义务等为完成本工程项目所涉及到的全部费用，上述费用均已包含在投标报价中，供应商现场勘查时应仔细核对施工内容，谨慎考虑报价。</w:t>
      </w:r>
      <w:r>
        <w:rPr>
          <w:rFonts w:hint="eastAsia" w:ascii="仿宋" w:hAnsi="仿宋" w:eastAsia="仿宋" w:cs="仿宋"/>
          <w:color w:val="000000"/>
          <w:sz w:val="24"/>
          <w:szCs w:val="24"/>
          <w:highlight w:val="none"/>
          <w:lang w:val="zh-CN" w:bidi="ar"/>
        </w:rPr>
      </w:r>
      <w:r/>
    </w:p>
    <w:p>
      <w:pPr>
        <w:pStyle w:val="906"/>
        <w:ind w:firstLine="480"/>
        <w:jc w:val="left"/>
        <w:spacing w:line="560" w:lineRule="exact"/>
        <w:widowControl/>
        <w:rPr>
          <w:rFonts w:hint="eastAsia" w:ascii="仿宋" w:hAnsi="仿宋" w:eastAsia="仿宋" w:cs="仿宋"/>
          <w:color w:val="000000"/>
          <w:sz w:val="24"/>
          <w:szCs w:val="24"/>
          <w:highlight w:val="none"/>
          <w:lang w:val="zh-CN" w:bidi="ar"/>
        </w:rPr>
      </w:pPr>
      <w:r>
        <w:rPr>
          <w:rFonts w:hint="eastAsia" w:ascii="仿宋" w:hAnsi="仿宋" w:eastAsia="仿宋" w:cs="仿宋"/>
          <w:color w:val="000000"/>
          <w:sz w:val="24"/>
          <w:szCs w:val="24"/>
          <w:highlight w:val="none"/>
          <w:lang w:bidi="ar"/>
        </w:rPr>
        <w:t xml:space="preserve">2.3</w:t>
      </w:r>
      <w:r>
        <w:rPr>
          <w:rFonts w:hint="eastAsia" w:ascii="仿宋" w:hAnsi="仿宋" w:eastAsia="仿宋" w:cs="仿宋"/>
          <w:color w:val="000000"/>
          <w:sz w:val="24"/>
          <w:szCs w:val="24"/>
          <w:highlight w:val="none"/>
          <w:lang w:val="zh-CN" w:bidi="ar"/>
        </w:rPr>
        <w:t xml:space="preserve">供应商应充分考虑到市场价格变动，以及项目实施过程中的不可预见因素，一旦成交，固定单价不变。供应商任何错漏、优惠、报价不得作为减轻责任、减少服务、增加收费、降低质量的理由。</w:t>
      </w:r>
      <w:r>
        <w:rPr>
          <w:rFonts w:hint="eastAsia" w:ascii="仿宋" w:hAnsi="仿宋" w:eastAsia="仿宋" w:cs="仿宋"/>
          <w:color w:val="000000"/>
          <w:sz w:val="24"/>
          <w:szCs w:val="24"/>
          <w:highlight w:val="none"/>
          <w:lang w:val="zh-CN"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2.4</w:t>
      </w:r>
      <w:r>
        <w:rPr>
          <w:rFonts w:hint="eastAsia" w:ascii="仿宋" w:hAnsi="仿宋" w:eastAsia="仿宋" w:cs="仿宋"/>
          <w:color w:val="000000"/>
          <w:sz w:val="24"/>
          <w:szCs w:val="24"/>
          <w:highlight w:val="none"/>
          <w:lang w:val="zh-CN" w:bidi="ar"/>
        </w:rPr>
        <w:t xml:space="preserve">经磋商后，如果成交价高于或低于供应商在响应文件首次报价的，分项报价同比例调整。</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2.5 工程量清单中供应商没有填入单价或价格的子目，其费用视为已分摊在工程量清单中其他相关子目的单价或价格之中。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2.6 暂列金额、暂估价的数量及拟用子目的说明：工程量清单及暂估价、暂列金额及甲供材料价格：</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（1）与竞争性磋商文件提供的工程量清单中的项目编码、项目名称、项目特征、计量单位、工程量一致（措施项目增项除外）； </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（2）与竞争性磋商文件规定的暂估价、暂列金额及甲供材料价格一致。</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3.主要材料、设备选用表</w:t>
      </w:r>
      <w:r>
        <w:rPr>
          <w:rFonts w:hint="eastAsia" w:ascii="仿宋" w:hAnsi="仿宋" w:eastAsia="仿宋" w:cs="仿宋"/>
          <w:color w:val="000000"/>
          <w:sz w:val="24"/>
          <w:szCs w:val="24"/>
          <w:highlight w:val="none"/>
          <w:lang w:bidi="ar"/>
        </w:rPr>
      </w:r>
      <w:r/>
    </w:p>
    <w:p>
      <w:pPr>
        <w:pStyle w:val="942"/>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p>
      <w:pPr>
        <w:pStyle w:val="944"/>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p>
      <w:pPr>
        <w:pStyle w:val="944"/>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4"/>
        <w:gridCol w:w="3996"/>
        <w:gridCol w:w="3935"/>
        <w:gridCol w:w="889"/>
      </w:tblGrid>
      <w:tr>
        <w:trPr>
          <w:trHeight w:val="432"/>
        </w:trPr>
        <w:tc>
          <w:tcPr>
            <w:tcW w:w="814" w:type="dxa"/>
            <w:vAlign w:val="center"/>
            <w:textDirection w:val="lrTb"/>
            <w:noWrap w:val="false"/>
          </w:tcPr>
          <w:p>
            <w:pPr>
              <w:pStyle w:val="90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名称</w:t>
            </w:r>
            <w:r>
              <w:rPr>
                <w:rFonts w:hint="eastAsia" w:ascii="仿宋" w:hAnsi="仿宋" w:eastAsia="仿宋" w:cs="仿宋"/>
                <w:b/>
                <w:bCs/>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推荐品牌、生产厂家或同档次产品</w:t>
            </w:r>
            <w:r>
              <w:rPr>
                <w:rFonts w:hint="eastAsia" w:ascii="仿宋" w:hAnsi="仿宋" w:eastAsia="仿宋" w:cs="仿宋"/>
                <w:b/>
                <w:bCs/>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备注</w:t>
            </w:r>
            <w:r>
              <w:rPr>
                <w:rFonts w:hint="eastAsia" w:ascii="仿宋" w:hAnsi="仿宋" w:eastAsia="仿宋" w:cs="仿宋"/>
                <w:b/>
                <w:bCs/>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ascii="仿宋" w:hAnsi="仿宋" w:eastAsia="宋体"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水泥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水泥砂浆</w:t>
            </w:r>
            <w:r>
              <w:rPr>
                <w:rFonts w:ascii="仿宋" w:hAnsi="仿宋" w:eastAsia="宋体" w:cs="仿宋"/>
                <w:color w:val="000000"/>
                <w:sz w:val="24"/>
                <w:szCs w:val="24"/>
                <w:highlight w:val="none"/>
                <w:lang w:val="en-US" w:eastAsia="zh-CN"/>
              </w:rPr>
            </w:r>
            <w:r/>
          </w:p>
        </w:tc>
        <w:tc>
          <w:tcPr>
            <w:tcW w:w="3935" w:type="dxa"/>
            <w:vAlign w:val="center"/>
            <w:textDirection w:val="lrTb"/>
            <w:noWrap w:val="false"/>
          </w:tcPr>
          <w:p>
            <w:pPr>
              <w:pStyle w:val="976"/>
              <w:ind w:firstLine="4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海螺、中联、华新</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涂料、乳胶漆</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多乐士、立邦、三棵树</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地砖</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冠珠、蒙娜丽莎、斯米克</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钢筋</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南钢、宝钢、沙钢</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铝板</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江苏银虎、上海吉祥、广东佳美</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石膏板</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轻钢龙骨</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泰山、龙牌、鸿诚亿龙</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铝合金型材</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江阴建邦、广东凤铝、江苏伟业</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陶瓷静电地板</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汇丽、森迈、向利</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方管</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正大、友发、国强</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pvc地胶</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LG、北新、悠跃</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电缆、电线</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江南电缆、远东电缆、宝胜电缆</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开关插座</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正泰、欧普、公牛</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六类非屏蔽网络线</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海康威视、普天天纪、安普</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HDMI 2.1光纤信号线</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绿联、秋叶原、山泽</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照明灯具、灯带</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雷士、飞利浦、欧普</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配电箱内部开关元器件</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ABB、施耐德、西门子  </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桥架（钢制桥架）</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南京烈海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力拓、伟锋</w:t>
            </w:r>
            <w:r>
              <w:rPr>
                <w:rFonts w:ascii="仿宋" w:hAnsi="仿宋" w:eastAsia="仿宋" w:cs="仿宋"/>
                <w:color w:val="000000"/>
                <w:sz w:val="24"/>
                <w:szCs w:val="24"/>
                <w:highlight w:val="none"/>
                <w:lang w:val="en-US" w:eastAsia="zh-CN"/>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JDG管及管件</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无锡宏卫、北京亿泰、泰瑞安</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镀锌钢板、型材</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江苏湖光、浙江金洲、天津友发</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B1级橡塑保温</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华美、阿乐斯、金威</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水晶头、跳线、配线架、理线架、模块、尾纤等智能化材料</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山泽、安普、普天</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814" w:type="dxa"/>
            <w:vAlign w:val="center"/>
            <w:textDirection w:val="lrTb"/>
            <w:noWrap w:val="false"/>
          </w:tcPr>
          <w:p>
            <w:pPr>
              <w:pStyle w:val="90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ascii="仿宋" w:hAnsi="仿宋" w:eastAsia="仿宋" w:cs="仿宋"/>
                <w:color w:val="000000"/>
                <w:sz w:val="24"/>
                <w:szCs w:val="24"/>
                <w:highlight w:val="none"/>
                <w:lang w:val="en-US" w:eastAsia="zh-CN"/>
              </w:rPr>
            </w:r>
            <w:r/>
          </w:p>
        </w:tc>
        <w:tc>
          <w:tcPr>
            <w:tcW w:w="3996"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钢化玻璃</w:t>
            </w:r>
            <w:r>
              <w:rPr>
                <w:rFonts w:hint="eastAsia" w:ascii="仿宋" w:hAnsi="仿宋" w:eastAsia="仿宋" w:cs="仿宋"/>
                <w:color w:val="000000"/>
                <w:sz w:val="24"/>
                <w:szCs w:val="24"/>
                <w:highlight w:val="none"/>
              </w:rPr>
            </w:r>
            <w:r/>
          </w:p>
        </w:tc>
        <w:tc>
          <w:tcPr>
            <w:tcW w:w="393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卡莱司卓、林德纳、代高</w:t>
            </w:r>
            <w:r>
              <w:rPr>
                <w:rFonts w:hint="eastAsia" w:ascii="仿宋" w:hAnsi="仿宋" w:eastAsia="仿宋" w:cs="仿宋"/>
                <w:color w:val="000000"/>
                <w:sz w:val="24"/>
                <w:szCs w:val="24"/>
                <w:highlight w:val="none"/>
              </w:rPr>
            </w:r>
            <w:r/>
          </w:p>
        </w:tc>
        <w:tc>
          <w:tcPr>
            <w:tcW w:w="889"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供应商在投标时承诺使用采购人提供的品牌，在合同履行过程中进行选择。供应商拟采用推荐品牌的同档次产品时，必须满足上表中的工艺和品牌要求，并报采购人同意。成交后材料进场前监理单位根据《主要工作量清单》、《装饰主要材料选用表》安排材料进场。出现推荐品牌之外或材料贴牌、以次充好的情况，采购人有权要求供应商更换，费用由供应商承担。</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color w:val="000000"/>
          <w:highlight w:val="none"/>
        </w:rPr>
      </w:pPr>
      <w:r>
        <w:rPr>
          <w:rFonts w:hint="eastAsia" w:ascii="仿宋" w:hAnsi="仿宋" w:eastAsia="仿宋" w:cs="仿宋"/>
          <w:color w:val="000000"/>
          <w:sz w:val="24"/>
          <w:szCs w:val="24"/>
          <w:highlight w:val="none"/>
          <w:lang w:bidi="ar"/>
        </w:rPr>
        <w:t xml:space="preserve">2.5</w:t>
      </w:r>
      <w:bookmarkStart w:id="154" w:name="OLE_LINK14"/>
      <w:r/>
      <w:bookmarkStart w:id="155" w:name="OLE_LINK13"/>
      <w:r>
        <w:rPr>
          <w:rFonts w:hint="eastAsia" w:ascii="仿宋" w:hAnsi="仿宋" w:eastAsia="仿宋" w:cs="仿宋"/>
          <w:color w:val="000000"/>
          <w:sz w:val="24"/>
          <w:szCs w:val="24"/>
          <w:highlight w:val="none"/>
          <w:lang w:val="zh-CN" w:bidi="ar"/>
        </w:rPr>
        <w:t xml:space="preserve">★</w:t>
      </w:r>
      <w:bookmarkEnd w:id="154"/>
      <w:r/>
      <w:bookmarkEnd w:id="155"/>
      <w:r>
        <w:rPr>
          <w:rFonts w:hint="eastAsia" w:ascii="仿宋" w:hAnsi="仿宋" w:eastAsia="仿宋" w:cs="仿宋"/>
          <w:color w:val="000000"/>
          <w:sz w:val="24"/>
          <w:szCs w:val="24"/>
          <w:highlight w:val="none"/>
          <w:lang w:val="zh-CN" w:bidi="ar"/>
        </w:rPr>
        <w:t xml:space="preserve">投标工程量清单，必须使用清单计价软件导出的投标报价表格，工程量清单报价的扉页(或导出的清单表格指定页面)加盖本单位造价人员的执业章及签字。</w:t>
      </w:r>
      <w:r>
        <w:rPr>
          <w:color w:val="000000"/>
          <w:highlight w:val="none"/>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（二）项目建设遵循标准</w:t>
      </w:r>
      <w:r>
        <w:rPr>
          <w:rFonts w:hint="eastAsia" w:ascii="仿宋" w:hAnsi="仿宋" w:eastAsia="仿宋" w:cs="仿宋"/>
          <w:color w:val="000000"/>
          <w:sz w:val="24"/>
          <w:szCs w:val="24"/>
          <w:highlight w:val="none"/>
          <w:lang w:bidi="ar"/>
        </w:rPr>
      </w:r>
      <w:r/>
    </w:p>
    <w:p>
      <w:pPr>
        <w:pStyle w:val="906"/>
        <w:ind w:firstLine="480"/>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
        </w:rPr>
        <w:t xml:space="preserve">1、标准规范</w:t>
      </w:r>
      <w:r>
        <w:rPr>
          <w:rFonts w:hint="eastAsia" w:ascii="仿宋" w:hAnsi="仿宋" w:eastAsia="仿宋" w:cs="仿宋"/>
          <w:bCs/>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（1）关于开展紫金山实验室专家论证会相关材料；</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（2）大楼建设单位提供的基础数据和相关文件:包含项目建筑、装修、机电、弱电竣工图纸、联系单等；</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（3）现场勘查收集到的各种相关资料；</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（4）国家、地方等现行的相关设计规范、规程及标准:</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《安全防范工程技术标准》GB50348-2018；</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《民用闭路监视电视系统工程技术规范》GB50198-2011；</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《公共广播系统工程技术规范》GB50526-2010；</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《建筑物电子信息系统防雷技术规范》GB50343-2012；</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《建筑电气工程电磁兼容技术规范》GB51204-2016；</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《建筑工程施工质量验收统一标准》GB50300-2013；</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《信息安全技术-网络安全等级保护基本要求》GB/T22239-2019；</w:t>
      </w:r>
      <w:r>
        <w:rPr>
          <w:rFonts w:hint="eastAsia" w:ascii="仿宋" w:hAnsi="仿宋" w:eastAsia="仿宋" w:cs="仿宋"/>
          <w:color w:val="000000"/>
          <w:sz w:val="24"/>
          <w:szCs w:val="24"/>
          <w:highlight w:val="none"/>
        </w:rPr>
      </w:r>
      <w:r/>
    </w:p>
    <w:p>
      <w:pPr>
        <w:pStyle w:val="988"/>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上述标准中未标年号的一律采用最新的标准；同时随着标准的修订，根据修订后的最新标准作为依据。除上述规范标准以外，须遵循国家、行业及地方现行的规范和标准要求。 </w:t>
      </w:r>
      <w:r>
        <w:rPr>
          <w:rFonts w:hint="eastAsia" w:ascii="仿宋" w:hAnsi="仿宋" w:eastAsia="仿宋" w:cs="仿宋"/>
          <w:color w:val="000000"/>
          <w:sz w:val="24"/>
          <w:szCs w:val="24"/>
          <w:highlight w:val="none"/>
        </w:rPr>
      </w:r>
      <w:r/>
    </w:p>
    <w:p>
      <w:pPr>
        <w:pStyle w:val="988"/>
        <w:ind w:left="0"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2、大楼建设单位提供的基础数据和相关文件:包含项目建筑、装修、机电、弱电竣工图纸、联系单等。</w:t>
      </w:r>
      <w:r>
        <w:rPr>
          <w:rFonts w:hint="eastAsia" w:ascii="仿宋" w:hAnsi="仿宋" w:eastAsia="仿宋" w:cs="仿宋"/>
          <w:color w:val="000000"/>
          <w:sz w:val="24"/>
          <w:szCs w:val="24"/>
          <w:highlight w:val="none"/>
        </w:rPr>
      </w:r>
      <w:r/>
    </w:p>
    <w:p>
      <w:pPr>
        <w:pStyle w:val="988"/>
        <w:ind w:left="0"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3、平面图</w:t>
      </w:r>
      <w:r>
        <w:rPr>
          <w:rFonts w:hint="eastAsia" w:ascii="仿宋" w:hAnsi="仿宋" w:eastAsia="仿宋" w:cs="仿宋"/>
          <w:color w:val="000000"/>
          <w:sz w:val="24"/>
          <w:szCs w:val="24"/>
          <w:highlight w:val="none"/>
        </w:rPr>
      </w:r>
      <w:r/>
    </w:p>
    <w:p>
      <w:pPr>
        <w:pStyle w:val="906"/>
        <w:jc w:val="center"/>
        <w:spacing w:before="100" w:beforeAutospacing="1" w:after="100" w:afterAutospacing="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544820" cy="22244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544820" cy="2224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6.6pt;height:175.2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color w:val="000000"/>
          <w:sz w:val="24"/>
          <w:szCs w:val="24"/>
          <w:highlight w:val="none"/>
        </w:rPr>
      </w:r>
      <w:r/>
    </w:p>
    <w:p>
      <w:pPr>
        <w:pStyle w:val="906"/>
        <w:jc w:val="center"/>
        <w:spacing w:before="100" w:beforeAutospacing="1" w:after="100" w:afterAutospacing="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B1栋F1层装修部分整体平面布置图</w:t>
      </w:r>
      <w:r>
        <w:rPr>
          <w:rFonts w:hint="eastAsia" w:ascii="仿宋" w:hAnsi="仿宋" w:eastAsia="仿宋" w:cs="仿宋"/>
          <w:color w:val="000000"/>
          <w:sz w:val="24"/>
          <w:szCs w:val="24"/>
          <w:highlight w:val="none"/>
        </w:rPr>
      </w:r>
      <w:r/>
    </w:p>
    <w:p>
      <w:pPr>
        <w:pStyle w:val="988"/>
        <w:ind w:left="0" w:firstLine="480"/>
        <w:spacing w:line="360" w:lineRule="auto"/>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
        </w:rPr>
        <w:t xml:space="preserve">4、功能、性能、配置要求</w:t>
      </w:r>
      <w:r>
        <w:rPr>
          <w:rFonts w:hint="eastAsia" w:ascii="仿宋" w:hAnsi="仿宋" w:eastAsia="仿宋" w:cs="仿宋"/>
          <w:color w:val="000000"/>
          <w:sz w:val="24"/>
          <w:szCs w:val="24"/>
          <w:highlight w:val="none"/>
          <w:lang w:bidi="ar"/>
        </w:rPr>
      </w:r>
      <w:r/>
    </w:p>
    <w:tbl>
      <w:tblPr>
        <w:tblW w:w="5174" w:type="pct"/>
        <w:tblInd w:w="-252" w:type="dxa"/>
        <w:tblLayout w:type="fixed"/>
        <w:tblCellMar>
          <w:left w:w="108" w:type="dxa"/>
          <w:top w:w="0" w:type="dxa"/>
          <w:right w:w="108" w:type="dxa"/>
          <w:bottom w:w="0" w:type="dxa"/>
        </w:tblCellMar>
        <w:tblLook w:val="04A0" w:firstRow="1" w:lastRow="0" w:firstColumn="1" w:lastColumn="0" w:noHBand="0" w:noVBand="1"/>
      </w:tblPr>
      <w:tblGrid>
        <w:gridCol w:w="689"/>
        <w:gridCol w:w="1786"/>
        <w:gridCol w:w="7394"/>
      </w:tblGrid>
      <w:tr>
        <w:trPr>
          <w:trHeight w:val="501"/>
        </w:trPr>
        <w:tc>
          <w:tcPr>
            <w:gridSpan w:val="3"/>
            <w:shd w:val="clear" w:color="auto" w:fill="ffffff"/>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lang w:bidi="ar"/>
              </w:rPr>
              <w:t xml:space="preserve">本小项下技术要求的指标必须满足，有一条不满足视为无效投标。</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本项功能、性能、配置要求中所有技术要求除明确要求提供技术参数证明材料外，可提供承诺书，承诺使用产品满足“功能、性能、配置要求”中技术要求。</w:t>
            </w:r>
            <w:r>
              <w:rPr>
                <w:rFonts w:hint="eastAsia" w:ascii="仿宋" w:hAnsi="仿宋" w:eastAsia="仿宋" w:cs="仿宋"/>
                <w:color w:val="000000"/>
                <w:sz w:val="24"/>
                <w:szCs w:val="24"/>
                <w:highlight w:val="none"/>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功能、性能、配置要求</w:t>
            </w:r>
            <w:r>
              <w:rPr>
                <w:rFonts w:hint="eastAsia" w:ascii="仿宋" w:hAnsi="仿宋" w:eastAsia="仿宋" w:cs="仿宋"/>
                <w:color w:val="000000"/>
                <w:sz w:val="24"/>
                <w:szCs w:val="24"/>
                <w:highlight w:val="none"/>
              </w:rPr>
            </w:r>
            <w:r/>
          </w:p>
        </w:tc>
      </w:tr>
      <w:tr>
        <w:trPr>
          <w:trHeight w:val="384"/>
        </w:trPr>
        <w:tc>
          <w:tcPr>
            <w:gridSpan w:val="3"/>
            <w:shd w:val="clear" w:color="auto" w:fill="ffffff"/>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pStyle w:val="906"/>
              <w:jc w:val="lef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一、 装饰安装工程</w:t>
            </w:r>
            <w:r>
              <w:rPr>
                <w:rFonts w:hint="eastAsia" w:ascii="仿宋" w:hAnsi="仿宋" w:eastAsia="仿宋" w:cs="仿宋"/>
                <w:color w:val="000000"/>
                <w:sz w:val="24"/>
                <w:szCs w:val="24"/>
                <w:highlight w:val="none"/>
              </w:rPr>
            </w:r>
            <w:r/>
          </w:p>
        </w:tc>
      </w:tr>
      <w:tr>
        <w:trPr>
          <w:trHeight w:val="1483"/>
        </w:trPr>
        <w:tc>
          <w:tcPr>
            <w:shd w:val="clear" w:color="auto" w:fill="ffffff"/>
            <w:tcBorders>
              <w:top w:val="single" w:color="000000" w:sz="4" w:space="0"/>
              <w:left w:val="single" w:color="000000" w:sz="4" w:space="0"/>
              <w:bottom w:val="none" w:color="000000" w:sz="0" w:space="0"/>
              <w:right w:val="single" w:color="000000" w:sz="4" w:space="0"/>
            </w:tcBorders>
            <w:tcW w:w="349" w:type="dxa"/>
            <w:vAlign w:val="center"/>
            <w:vMerge w:val="restart"/>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905" w:type="dxa"/>
            <w:vAlign w:val="center"/>
            <w:vMerge w:val="restart"/>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系统要求</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本次装修范围包括紫金山实验室F栋1层东侧环境内：领域专用攻防试验平台等约1550平方米空间，净空高度16.5米，主要包括墙顶地装饰、强电敷设、灯光照明、平面装饰、暖通等内容，实际工作量见附件清单。</w:t>
            </w:r>
            <w:r>
              <w:rPr>
                <w:rFonts w:ascii="仿宋" w:hAnsi="仿宋" w:eastAsia="仿宋" w:cs="仿宋"/>
                <w:color w:val="000000"/>
                <w:szCs w:val="24"/>
                <w:highlight w:val="none"/>
              </w:rPr>
            </w:r>
            <w:r/>
          </w:p>
          <w:p>
            <w:pPr>
              <w:pStyle w:val="1065"/>
              <w:contextualSpacing/>
              <w:spacing w:line="360" w:lineRule="auto"/>
              <w:rPr>
                <w:rFonts w:ascii="仿宋" w:hAnsi="仿宋" w:eastAsia="仿宋" w:cs="仿宋"/>
                <w:color w:val="000000"/>
                <w:szCs w:val="24"/>
                <w:highlight w:val="none"/>
              </w:rPr>
            </w:pPr>
            <w:r>
              <w:rPr>
                <w:rFonts w:ascii="仿宋" w:hAnsi="仿宋" w:eastAsia="仿宋" w:cs="仿宋"/>
                <w:color w:val="000000"/>
                <w:szCs w:val="24"/>
                <w:highlight w:val="none"/>
              </w:rPr>
              <w:object w:dxaOrig="11920" w:dyaOrig="1689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5.8pt;height:380.1pt;mso-wrap-distance-left:0.0pt;mso-wrap-distance-top:0.0pt;mso-wrap-distance-right:0.0pt;mso-wrap-distance-bottom:0.0pt;" filled="f" stroked="f">
                  <v:path textboxrect="0,0,0,0"/>
                  <v:imagedata r:id="rId22" o:title=""/>
                </v:shape>
                <o:OLEObject DrawAspect="Content" r:id="rId23" ObjectID="_1525047" ProgID="Acrobat.Document.DC" ShapeID="_x0000_i7" Type="Embed"/>
              </w:object>
            </w:r>
            <w:r>
              <w:rPr>
                <w:rFonts w:ascii="仿宋" w:hAnsi="仿宋" w:eastAsia="仿宋" w:cs="仿宋"/>
                <w:color w:val="000000"/>
                <w:szCs w:val="24"/>
                <w:highlight w:val="none"/>
              </w:rPr>
            </w:r>
            <w:r/>
          </w:p>
          <w:p>
            <w:pPr>
              <w:pStyle w:val="1065"/>
              <w:contextualSpacing/>
              <w:jc w:val="center"/>
              <w:spacing w:line="360" w:lineRule="auto"/>
              <w:rPr>
                <w:rFonts w:ascii="仿宋" w:hAnsi="仿宋" w:eastAsia="仿宋" w:cs="仿宋"/>
                <w:color w:val="000000"/>
                <w:szCs w:val="24"/>
                <w:highlight w:val="none"/>
              </w:rPr>
            </w:pPr>
            <w:r>
              <w:rPr>
                <w:rFonts w:ascii="仿宋" w:hAnsi="仿宋" w:eastAsia="仿宋" w:cs="仿宋"/>
                <w:color w:val="000000"/>
                <w:szCs w:val="24"/>
                <w:highlight w:val="none"/>
              </w:rPr>
              <w:t xml:space="preserve">施工区域</w:t>
            </w:r>
            <w:r>
              <w:rPr>
                <w:rFonts w:ascii="仿宋" w:hAnsi="仿宋" w:eastAsia="仿宋" w:cs="仿宋"/>
                <w:color w:val="000000"/>
                <w:szCs w:val="24"/>
                <w:highlight w:val="none"/>
              </w:rPr>
            </w:r>
            <w:r/>
          </w:p>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1、所有材料不低于以下要求：供应商承诺：在实施阶段使用材料的参照附件“工程量清单”“装饰主要材料选用表”对于品牌与规格的要求，定制化产品在使用前需准备小样与业主进行确认</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r>
            <w:r/>
          </w:p>
        </w:tc>
      </w:tr>
      <w:tr>
        <w:trPr>
          <w:trHeight w:val="1996"/>
        </w:trPr>
        <w:tc>
          <w:tcPr>
            <w:shd w:val="clear" w:color="auto" w:fill="ffffff"/>
            <w:tcBorders>
              <w:top w:val="none" w:color="000000" w:sz="0" w:space="0"/>
              <w:left w:val="single" w:color="000000" w:sz="4" w:space="0"/>
              <w:bottom w:val="none" w:color="000000" w:sz="0"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2、整体区域供电要求搭建过程中配置独立电箱及配套电缆，电缆长度根据现场情况敷设。搭建服务满足楼层用电安全规范，支持“通感一体化双反射面紧缩场”、“穹顶暗室”以及“预留暗室”约1500m²环境内的供配电，包含且不限于照明、办公、插座面板等。规划合理，使用便利，冗余充足，供应商须按图施工且施工质量符合国家、行业等验收标准</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1032"/>
        </w:trPr>
        <w:tc>
          <w:tcPr>
            <w:shd w:val="clear" w:color="auto" w:fill="ffffff"/>
            <w:tcBorders>
              <w:top w:val="none" w:color="000000" w:sz="0" w:space="0"/>
              <w:left w:val="single" w:color="000000" w:sz="4" w:space="0"/>
              <w:bottom w:val="none" w:color="000000" w:sz="0"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3、从地下配电室敷设独立电缆至配电柜，再由配电柜分别给“通感一体化双反射面紧缩场”、“穹顶暗室”以及“预留暗室”的所有设备供电，做到各区域独立供电。供应商须严格按图施工且施工质量符合国家、行业等验收标准</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999"/>
        </w:trPr>
        <w:tc>
          <w:tcPr>
            <w:shd w:val="clear" w:color="auto" w:fill="ffffff"/>
            <w:tcBorders>
              <w:top w:val="none" w:color="000000" w:sz="0" w:space="0"/>
              <w:left w:val="single" w:color="000000" w:sz="4" w:space="0"/>
              <w:bottom w:val="single" w:color="000000" w:sz="4"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4、搭建过程中试验场使用的金属桥架厚度不得低于1.5mm,配电箱铁皮厚度不得低于1.5mm</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999"/>
        </w:trPr>
        <w:tc>
          <w:tcPr>
            <w:shd w:val="clear" w:color="auto" w:fill="ffffff"/>
            <w:tcBorders>
              <w:top w:val="none" w:color="000000" w:sz="0" w:space="0"/>
              <w:left w:val="single" w:color="000000" w:sz="4" w:space="0"/>
              <w:bottom w:val="single" w:color="000000" w:sz="4"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5、实验室地面找平，过道区域采用PVC地胶铺设，地面标高0m，通感一体化测试系统区域地面标高-0.6m，架设陶瓷防静电地板，架设完成后地面标高0m。供应商须严格按图施工且施工质量符合国家、行业等验收标准</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90"/>
        </w:trPr>
        <w:tc>
          <w:tcPr>
            <w:shd w:val="clear" w:color="auto" w:fill="ffffff"/>
            <w:tcBorders>
              <w:top w:val="none" w:color="000000" w:sz="0" w:space="0"/>
              <w:left w:val="single" w:color="000000" w:sz="4" w:space="0"/>
              <w:bottom w:val="single" w:color="000000" w:sz="4"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6、建设控制室和物料存放区，主体采用断桥铝隔断，门采用断桥铝门，房顶采用断桥铝格栅，部分侧墙采用厚石膏板（内墙增加一层大芯板）。控制室内和物料区配置有插座，包括供电插座，信息插座等。供应商须严格按图施工且施工质量符合国家、行业等验收标准</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744"/>
        </w:trPr>
        <w:tc>
          <w:tcPr>
            <w:shd w:val="clear" w:color="auto" w:fill="ffffff"/>
            <w:tcBorders>
              <w:top w:val="none" w:color="000000" w:sz="0" w:space="0"/>
              <w:left w:val="single" w:color="000000" w:sz="4" w:space="0"/>
              <w:bottom w:val="single" w:color="000000" w:sz="4"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7、厂房墙体需重新装修，墙面钢质横梁及混凝土立柱刮腻子刷灰色乳胶漆；其余墙面为白色乳胶漆饰面。厂房墙体配置有插座，包括供电插座，信息插座等。供应商须严格按图施工且施工质量符合国家、行业等验收标准</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725"/>
        </w:trPr>
        <w:tc>
          <w:tcPr>
            <w:shd w:val="clear" w:color="auto" w:fill="ffffff"/>
            <w:tcBorders>
              <w:top w:val="none" w:color="000000" w:sz="0" w:space="0"/>
              <w:left w:val="single" w:color="000000" w:sz="4" w:space="0"/>
              <w:bottom w:val="single" w:color="000000" w:sz="4" w:space="0"/>
              <w:right w:val="single" w:color="000000" w:sz="4" w:space="0"/>
            </w:tcBorders>
            <w:tcW w:w="349" w:type="dxa"/>
            <w:vAlign w:val="center"/>
            <w:vMerge w:val="continue"/>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none" w:color="000000" w:sz="0"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8、施工单位应遵守紫金山实验室有关文明施工的要求和制度，按要求卸货、堆放施工材料并及时清运垃圾，保护园区及施工现场主要道路、出入口、材料堆放场、办公场所、电梯、楼梯、仓库、厕所等区域；严格遵守施工时间，避免在办公时间内进行噪音施工，做好与园区内其他单位的协调沟通工作，不引起其他办公人员的投诉和纠纷</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384"/>
        </w:trPr>
        <w:tc>
          <w:tcPr>
            <w:gridSpan w:val="3"/>
            <w:shd w:val="clear" w:color="auto" w:fill="ffffff"/>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pStyle w:val="906"/>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 综合布线</w:t>
            </w:r>
            <w:r>
              <w:rPr>
                <w:rFonts w:hint="eastAsia" w:ascii="仿宋" w:hAnsi="仿宋" w:eastAsia="仿宋" w:cs="仿宋"/>
                <w:b/>
                <w:bCs/>
                <w:color w:val="000000"/>
                <w:sz w:val="24"/>
                <w:szCs w:val="24"/>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基本要求</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1、要求技术交流区墙、地面预留网络、HDMI光纤信号线。</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2、施工范围内壁挂电视、65寸*16块拼接屏预留网络、HDMI光纤。</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3、地面预留HDMI线缆+网线（地插），面板即插即用，标签完整。</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4、所有线缆接口齐全、线路连通，布线合理。</w:t>
            </w:r>
            <w:r>
              <w:rPr>
                <w:rFonts w:hint="eastAsia" w:ascii="仿宋" w:hAnsi="仿宋" w:eastAsia="仿宋" w:cs="仿宋"/>
                <w:b/>
                <w:bCs/>
                <w:color w:val="000000"/>
                <w:sz w:val="24"/>
                <w:szCs w:val="24"/>
                <w:highlight w:val="none"/>
              </w:rPr>
              <w:t xml:space="preserve">（提供承诺书并加盖公章）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其他要求</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1、网络点采用六类非屏蔽网络线</w:t>
            </w:r>
            <w:r>
              <w:rPr>
                <w:rFonts w:hint="eastAsia" w:ascii="仿宋" w:hAnsi="仿宋" w:eastAsia="仿宋" w:cs="仿宋"/>
                <w:color w:val="000000"/>
                <w:sz w:val="24"/>
                <w:szCs w:val="24"/>
                <w:highlight w:val="none"/>
              </w:rPr>
            </w:r>
            <w:r/>
          </w:p>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提供第三方测试材料：供应商须承诺在材料进场前向采购人提供第三方权威检测机构的信道测试报告；</w:t>
            </w:r>
            <w:r>
              <w:rPr>
                <w:rFonts w:ascii="仿宋" w:hAnsi="仿宋" w:eastAsia="仿宋" w:cs="仿宋"/>
                <w:color w:val="000000"/>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2、电视信息点：HDMI 2.1光纤信号线</w:t>
            </w: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提供第三方测试材料：供应商须承诺在材料进场前向采购人提供第三方权威检测机构的信道测试报告；</w:t>
            </w:r>
            <w:r>
              <w:rPr>
                <w:rFonts w:hint="eastAsia" w:ascii="仿宋" w:hAnsi="仿宋" w:eastAsia="仿宋" w:cs="仿宋"/>
                <w:color w:val="000000"/>
                <w:sz w:val="24"/>
                <w:szCs w:val="24"/>
                <w:highlight w:val="none"/>
              </w:rPr>
            </w:r>
            <w:r/>
          </w:p>
          <w:p>
            <w:pPr>
              <w:pStyle w:val="1065"/>
              <w:contextualSpacing/>
              <w:spacing w:line="400" w:lineRule="exact"/>
              <w:rPr>
                <w:rFonts w:ascii="仿宋" w:hAnsi="仿宋" w:eastAsia="仿宋" w:cs="仿宋"/>
                <w:color w:val="000000"/>
                <w:szCs w:val="24"/>
                <w:highlight w:val="none"/>
              </w:rPr>
            </w:pPr>
            <w:r>
              <w:rPr>
                <w:rFonts w:ascii="仿宋" w:hAnsi="仿宋" w:eastAsia="仿宋" w:cs="仿宋"/>
                <w:b/>
                <w:bCs/>
                <w:color w:val="000000"/>
                <w:szCs w:val="24"/>
                <w:highlight w:val="none"/>
              </w:rPr>
              <w:t xml:space="preserve">供应商须承诺：如成交，在材料进场前向采购人提供上述材料的第三方权威检测机构的信道测试报告（提供承诺书并加盖公章）。</w:t>
            </w:r>
            <w:r>
              <w:rPr>
                <w:rFonts w:ascii="仿宋" w:hAnsi="仿宋" w:eastAsia="仿宋" w:cs="仿宋"/>
                <w:color w:val="000000"/>
                <w:szCs w:val="24"/>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参考图片</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暂无内容</w:t>
            </w:r>
            <w:r>
              <w:rPr>
                <w:rFonts w:hint="eastAsia" w:ascii="仿宋" w:hAnsi="仿宋" w:eastAsia="仿宋" w:cs="仿宋"/>
                <w:color w:val="000000"/>
                <w:sz w:val="24"/>
                <w:szCs w:val="24"/>
                <w:highlight w:val="none"/>
              </w:rPr>
            </w:r>
            <w:r/>
          </w:p>
        </w:tc>
      </w:tr>
      <w:tr>
        <w:trPr>
          <w:trHeight w:val="384"/>
        </w:trPr>
        <w:tc>
          <w:tcPr>
            <w:gridSpan w:val="3"/>
            <w:shd w:val="clear" w:color="auto" w:fill="ffffff"/>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二、风管改造</w:t>
            </w:r>
            <w:r>
              <w:rPr>
                <w:rFonts w:hint="eastAsia" w:ascii="仿宋" w:hAnsi="仿宋" w:eastAsia="仿宋" w:cs="仿宋"/>
                <w:color w:val="000000"/>
                <w:sz w:val="24"/>
                <w:szCs w:val="24"/>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系统要求</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988"/>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本次空调改造包括施工范围内空调末端管道安装、线路安装等，分为出风管道和回风管道两路。供应商须严格按图施工且施工质量符合国家、行业等验收标准</w:t>
            </w:r>
            <w:r>
              <w:rPr>
                <w:rFonts w:hint="eastAsia" w:ascii="仿宋" w:hAnsi="仿宋" w:eastAsia="仿宋" w:cs="仿宋"/>
                <w:b/>
                <w:bCs/>
                <w:color w:val="000000"/>
                <w:sz w:val="24"/>
                <w:szCs w:val="24"/>
                <w:highlight w:val="none"/>
              </w:rPr>
              <w:t xml:space="preserve">（提供承诺书并加盖公章）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384"/>
        </w:trPr>
        <w:tc>
          <w:tcPr>
            <w:gridSpan w:val="3"/>
            <w:shd w:val="clear" w:color="auto" w:fill="ffffff"/>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pStyle w:val="906"/>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三、施工保障</w:t>
            </w:r>
            <w:r>
              <w:rPr>
                <w:rFonts w:hint="eastAsia" w:ascii="仿宋" w:hAnsi="仿宋" w:eastAsia="仿宋" w:cs="仿宋"/>
                <w:color w:val="000000"/>
                <w:sz w:val="24"/>
                <w:szCs w:val="24"/>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6"/>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基本要求</w:t>
            </w:r>
            <w:r>
              <w:rPr>
                <w:rFonts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消防改造符合国家标准（《建筑设计防火规范》GB50016-2014），相关过程材料缜密清晰并整理成册；中标供应商应当遵守消防法规、国家消防技术标准，对建设工程消防设计、服务质量和安全负责，确保竣工消防验收合格</w:t>
            </w:r>
            <w:r>
              <w:rPr>
                <w:rFonts w:hint="eastAsia" w:ascii="仿宋" w:hAnsi="仿宋" w:eastAsia="仿宋" w:cs="仿宋"/>
                <w:b/>
                <w:bCs/>
                <w:color w:val="000000"/>
                <w:sz w:val="24"/>
                <w:szCs w:val="24"/>
                <w:highlight w:val="none"/>
              </w:rPr>
              <w:t xml:space="preserve">（提供承诺书并加盖公章）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负责施工图设计的设计单位须在中标供应商对演示验证系统装饰环境的现场强弱电搭建前完成用电量计算，计算结果与采购人确认无误后交中标供应商组织施工，供应商须严格按图施工且施工质量符合国家、行业等验收标准</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6"/>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其他要求</w:t>
            </w:r>
            <w:r>
              <w:rPr>
                <w:rFonts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45" w:type="dxa"/>
            <w:vAlign w:val="center"/>
            <w:textDirection w:val="lrTb"/>
            <w:noWrap w:val="false"/>
          </w:tcPr>
          <w:p>
            <w:pPr>
              <w:pStyle w:val="1065"/>
              <w:contextualSpacing/>
              <w:spacing w:line="400" w:lineRule="exact"/>
              <w:rPr>
                <w:rFonts w:ascii="仿宋" w:hAnsi="仿宋" w:eastAsia="仿宋" w:cs="仿宋"/>
                <w:color w:val="000000"/>
                <w:szCs w:val="24"/>
                <w:highlight w:val="none"/>
              </w:rPr>
            </w:pPr>
            <w:r>
              <w:rPr>
                <w:rFonts w:ascii="仿宋" w:hAnsi="仿宋" w:eastAsia="仿宋" w:cs="仿宋"/>
                <w:color w:val="000000"/>
                <w:szCs w:val="24"/>
                <w:highlight w:val="none"/>
              </w:rPr>
              <w:t xml:space="preserve">除网线、光纤外，现场施工过程所使用配管、配线、电箱、插座、桥架等必须符合国家规范标准，供应商提供相关证明彩页并加盖公章，并承诺在材料进场前提供产品的检测报告或认证证书</w:t>
            </w:r>
            <w:r>
              <w:rPr>
                <w:rFonts w:ascii="仿宋" w:hAnsi="仿宋" w:eastAsia="仿宋" w:cs="仿宋"/>
                <w:b/>
                <w:bCs/>
                <w:color w:val="000000"/>
                <w:szCs w:val="24"/>
                <w:highlight w:val="none"/>
              </w:rPr>
              <w:t xml:space="preserve">（提供承诺书并加盖公章）</w:t>
            </w:r>
            <w:r>
              <w:rPr>
                <w:rFonts w:ascii="仿宋" w:hAnsi="仿宋" w:eastAsia="仿宋" w:cs="仿宋"/>
                <w:color w:val="000000"/>
                <w:szCs w:val="24"/>
                <w:highlight w:val="none"/>
              </w:rPr>
              <w:t xml:space="preserve">。</w:t>
            </w:r>
            <w:r>
              <w:rPr>
                <w:rFonts w:ascii="仿宋" w:hAnsi="仿宋" w:eastAsia="仿宋" w:cs="仿宋"/>
                <w:color w:val="000000"/>
                <w:szCs w:val="24"/>
                <w:highlight w:val="none"/>
              </w:rPr>
            </w:r>
            <w:r/>
          </w:p>
        </w:tc>
      </w:tr>
    </w:tbl>
    <w:p>
      <w:pPr>
        <w:pStyle w:val="988"/>
        <w:ind w:left="0" w:firstLine="0"/>
        <w:spacing w:line="360" w:lineRule="auto"/>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5、实施要求</w:t>
      </w:r>
      <w:r>
        <w:rPr>
          <w:rFonts w:hint="eastAsia" w:ascii="仿宋" w:hAnsi="仿宋" w:eastAsia="仿宋" w:cs="仿宋"/>
          <w:color w:val="000000"/>
          <w:sz w:val="24"/>
          <w:szCs w:val="24"/>
          <w:highlight w:val="none"/>
          <w:lang w:bidi="ar"/>
        </w:rPr>
      </w:r>
      <w:r/>
    </w:p>
    <w:tbl>
      <w:tblPr>
        <w:tblW w:w="952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7"/>
        <w:gridCol w:w="2463"/>
        <w:gridCol w:w="6260"/>
      </w:tblGrid>
      <w:tr>
        <w:trPr>
          <w:trHeight w:val="74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序号</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3" w:type="dxa"/>
            <w:vAlign w:val="center"/>
            <w:textDirection w:val="lrTb"/>
            <w:noWrap/>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名称</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260" w:type="dxa"/>
            <w:vAlign w:val="center"/>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采购要求</w:t>
            </w:r>
            <w:r>
              <w:rPr>
                <w:rFonts w:hint="eastAsia" w:ascii="仿宋" w:hAnsi="仿宋" w:eastAsia="仿宋" w:cs="仿宋"/>
                <w:color w:val="000000"/>
                <w:sz w:val="24"/>
                <w:szCs w:val="24"/>
                <w:highlight w:val="none"/>
              </w:rPr>
            </w:r>
            <w:r/>
          </w:p>
        </w:tc>
      </w:tr>
      <w:tr>
        <w:trPr>
          <w:trHeight w:val="372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463" w:type="dxa"/>
            <w:vAlign w:val="center"/>
            <w:textDirection w:val="lrTb"/>
            <w:noWrap/>
          </w:tcPr>
          <w:p>
            <w:pPr>
              <w:pStyle w:val="906"/>
              <w:widowControl/>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bidi="ar"/>
              </w:rPr>
              <w:t xml:space="preserve">成果保障</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260" w:type="dxa"/>
            <w:vAlign w:val="center"/>
            <w:textDirection w:val="lrTb"/>
            <w:noWrap w:val="false"/>
          </w:tcPr>
          <w:p>
            <w:pPr>
              <w:pStyle w:val="906"/>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要求成交人在成交公示后、服务进场前，参与由采购人组织的项目启动会，再次明确工作分工与项目节点，严格遵循会议成果中明确的实施要求并签订相应承诺书；项目执行过程中，成交人应坚持结果导向，与其他实施方积极配合。过程中碰到工作范围交叉、实施主体模糊的情况，应服从采购人安排，不得推卸责任、消极怠工</w:t>
            </w:r>
            <w:r>
              <w:rPr>
                <w:rFonts w:hint="eastAsia" w:ascii="仿宋" w:hAnsi="仿宋" w:eastAsia="仿宋" w:cs="仿宋"/>
                <w:b/>
                <w:bCs/>
                <w:color w:val="000000"/>
                <w:sz w:val="24"/>
                <w:szCs w:val="24"/>
                <w:highlight w:val="none"/>
                <w:lang w:bidi="ar"/>
              </w:rPr>
              <w:t xml:space="preserve">（提供承诺书并加盖公章）</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906"/>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对于投标过程中供应商使用材料即为项目开展过程中实际使用材料，评审过程中若发现供应商投标价格明显低于市场价，磋商小组有权启动澄清程序并按</w:t>
            </w:r>
            <w:r>
              <w:rPr>
                <w:rFonts w:hint="eastAsia" w:ascii="仿宋" w:hAnsi="仿宋" w:eastAsia="仿宋" w:cs="仿宋"/>
                <w:color w:val="000000"/>
                <w:sz w:val="24"/>
                <w:szCs w:val="24"/>
                <w:highlight w:val="none"/>
                <w:lang w:val="zh-CN" w:bidi="ar"/>
              </w:rPr>
              <w:t xml:space="preserve">（苏财购〔2025〕62号）</w:t>
            </w:r>
            <w:r>
              <w:rPr>
                <w:rFonts w:hint="eastAsia" w:ascii="仿宋" w:hAnsi="仿宋" w:eastAsia="仿宋" w:cs="仿宋"/>
                <w:color w:val="000000"/>
                <w:sz w:val="24"/>
                <w:szCs w:val="24"/>
                <w:highlight w:val="none"/>
                <w:lang w:bidi="ar"/>
              </w:rPr>
              <w:t xml:space="preserve">相关规定处理。</w:t>
            </w:r>
            <w:r>
              <w:rPr>
                <w:rFonts w:hint="eastAsia" w:ascii="仿宋" w:hAnsi="仿宋" w:eastAsia="仿宋" w:cs="仿宋"/>
                <w:color w:val="000000"/>
                <w:sz w:val="24"/>
                <w:szCs w:val="24"/>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797" w:type="dxa"/>
            <w:vAlign w:val="center"/>
            <w:textDirection w:val="lrTb"/>
            <w:noWrap/>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63" w:type="dxa"/>
            <w:vAlign w:val="center"/>
            <w:textDirection w:val="lrTb"/>
            <w:noWrap/>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项目实施控制措施</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60" w:type="dxa"/>
            <w:vAlign w:val="center"/>
            <w:textDirection w:val="lrTb"/>
            <w:noWrap/>
          </w:tcPr>
          <w:p>
            <w:pPr>
              <w:pStyle w:val="906"/>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不低于以下要求：</w:t>
            </w:r>
            <w:r>
              <w:rPr>
                <w:rFonts w:hint="eastAsia" w:ascii="仿宋" w:hAnsi="仿宋" w:eastAsia="仿宋" w:cs="仿宋"/>
                <w:color w:val="000000"/>
                <w:sz w:val="24"/>
                <w:szCs w:val="24"/>
                <w:highlight w:val="none"/>
              </w:rPr>
            </w:r>
            <w:r/>
          </w:p>
          <w:p>
            <w:pPr>
              <w:pStyle w:val="906"/>
              <w:numPr>
                <w:ilvl w:val="0"/>
                <w:numId w:val="7"/>
              </w:numPr>
              <w:spacing w:line="400" w:lineRule="exact"/>
              <w:widowControl/>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进度控制，编制施工总进度计划，如发现项目建设进度可能导致合同工期严重延误时，有责任作详细报告分析原因和提出对策，供采购人采取措施或做出决定。</w:t>
            </w:r>
            <w:r>
              <w:rPr>
                <w:rFonts w:hint="eastAsia" w:ascii="仿宋" w:hAnsi="仿宋" w:eastAsia="仿宋" w:cs="仿宋"/>
                <w:color w:val="000000"/>
                <w:sz w:val="24"/>
                <w:szCs w:val="24"/>
                <w:highlight w:val="none"/>
              </w:rPr>
            </w:r>
            <w:r/>
          </w:p>
          <w:p>
            <w:pPr>
              <w:pStyle w:val="906"/>
              <w:numPr>
                <w:ilvl w:val="0"/>
                <w:numId w:val="7"/>
              </w:numPr>
              <w:spacing w:line="400" w:lineRule="exact"/>
              <w:widowControl/>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质量控制，依据国家法律、法规、标准以及本项目有关的竞争性磋商文件、响应文件、合同、设计方案、实施细则等文件，运用先进的质量控制工具和控制方法，采取事前预防、事中控制、事后纠正的方式，规划、控制服务质量。及时发现存在与潜在的质量问题，组织质量事故处理，跟踪项目在质保期内的运行状况，做好售后服务。</w:t>
            </w:r>
            <w:r>
              <w:rPr>
                <w:rFonts w:hint="eastAsia" w:ascii="仿宋" w:hAnsi="仿宋" w:eastAsia="仿宋" w:cs="仿宋"/>
                <w:color w:val="000000"/>
                <w:sz w:val="24"/>
                <w:szCs w:val="24"/>
                <w:highlight w:val="none"/>
              </w:rPr>
            </w:r>
            <w:r/>
          </w:p>
          <w:p>
            <w:pPr>
              <w:pStyle w:val="906"/>
              <w:numPr>
                <w:ilvl w:val="0"/>
                <w:numId w:val="7"/>
              </w:numPr>
              <w:spacing w:line="400" w:lineRule="exact"/>
              <w:widowControl/>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安全管理，贯彻执行、严格遵守国家安全生产方针政策、法律法规和管理制度，编制完善的安全生产组织措施和技术措施，加强管理和施工人员的安全教育 和培训，加强施工现场安全隐患排查和处置，加强对施工用水、用电、动火的监管，杜绝违章指挥、违章作业，做到安全、文明施工。</w:t>
            </w:r>
            <w:r>
              <w:rPr>
                <w:rFonts w:hint="eastAsia" w:ascii="仿宋" w:hAnsi="仿宋" w:eastAsia="仿宋" w:cs="仿宋"/>
                <w:color w:val="000000"/>
                <w:sz w:val="24"/>
                <w:szCs w:val="24"/>
                <w:highlight w:val="none"/>
              </w:rPr>
            </w:r>
            <w:r/>
          </w:p>
          <w:p>
            <w:pPr>
              <w:pStyle w:val="906"/>
              <w:numPr>
                <w:ilvl w:val="0"/>
                <w:numId w:val="7"/>
              </w:numPr>
              <w:spacing w:line="400" w:lineRule="exact"/>
              <w:widowControl/>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合同管理，在领取成交通知书后，应当及时与采购人协商签订采购合同；严格执行采购合同，与采购人加强沟通协调，就合同条款尽量达成一致理解，并采取简便、快捷的方式妥善处理和管控分歧；如项目实施过程中确需变更部分建设内容的，及时、妥善做好合同变更事宜。</w:t>
            </w:r>
            <w:r>
              <w:rPr>
                <w:rFonts w:hint="eastAsia" w:ascii="仿宋" w:hAnsi="仿宋" w:eastAsia="仿宋" w:cs="仿宋"/>
                <w:color w:val="000000"/>
                <w:sz w:val="24"/>
                <w:szCs w:val="24"/>
                <w:highlight w:val="none"/>
              </w:rPr>
            </w:r>
            <w:r/>
          </w:p>
          <w:p>
            <w:pPr>
              <w:pStyle w:val="906"/>
              <w:numPr>
                <w:ilvl w:val="0"/>
                <w:numId w:val="7"/>
              </w:numPr>
              <w:spacing w:line="400" w:lineRule="exact"/>
              <w:widowControl/>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信息安全管理，建立完善的信息安全管理制度、数据备份制度，建立信息安全管理工作目标和管理流程，进行信息安全事故的调查与处理，运用ISO17799标准，提高项目整体的信息安全水平。</w:t>
            </w:r>
            <w:r>
              <w:rPr>
                <w:rFonts w:hint="eastAsia" w:ascii="仿宋" w:hAnsi="仿宋" w:eastAsia="仿宋" w:cs="仿宋"/>
                <w:color w:val="000000"/>
                <w:sz w:val="24"/>
                <w:szCs w:val="24"/>
                <w:highlight w:val="none"/>
              </w:rPr>
            </w:r>
            <w:r/>
          </w:p>
          <w:p>
            <w:pPr>
              <w:pStyle w:val="906"/>
              <w:numPr>
                <w:ilvl w:val="0"/>
                <w:numId w:val="7"/>
              </w:numPr>
              <w:spacing w:line="400" w:lineRule="exact"/>
              <w:widowControl/>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项目文档管理，及时完成各阶段设计文档、测试记录、变更记录、问题跟踪处理记录等文件的收集、整理、归档、移交工作，确保本项目各类文件、资料传递的规范化、制度化，管理的科学化、规范化。</w:t>
            </w:r>
            <w:r>
              <w:rPr>
                <w:rFonts w:hint="eastAsia" w:ascii="仿宋" w:hAnsi="仿宋" w:eastAsia="仿宋" w:cs="仿宋"/>
                <w:color w:val="000000"/>
                <w:sz w:val="24"/>
                <w:szCs w:val="24"/>
                <w:highlight w:val="none"/>
              </w:rPr>
            </w:r>
            <w:r/>
          </w:p>
          <w:p>
            <w:pPr>
              <w:pStyle w:val="906"/>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bidi="ar"/>
              </w:rPr>
              <w:t xml:space="preserve">（上述内容须提供承诺书并加盖公章）</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tc>
      </w:tr>
      <w:tr>
        <w:trPr>
          <w:trHeight w:val="1320"/>
        </w:trPr>
        <w:tc>
          <w:tcPr>
            <w:tcBorders>
              <w:top w:val="none" w:color="000000" w:sz="4" w:space="0"/>
              <w:left w:val="single" w:color="000000" w:sz="4" w:space="0"/>
              <w:bottom w:val="single" w:color="000000" w:sz="4" w:space="0"/>
              <w:right w:val="single" w:color="000000" w:sz="4" w:space="0"/>
            </w:tcBorders>
            <w:tcW w:w="797" w:type="dxa"/>
            <w:vAlign w:val="center"/>
            <w:textDirection w:val="lrTb"/>
            <w:noWrap/>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463" w:type="dxa"/>
            <w:vAlign w:val="center"/>
            <w:textDirection w:val="lrTb"/>
            <w:noWrap/>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人员要求</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60" w:type="dxa"/>
            <w:vAlign w:val="center"/>
            <w:textDirection w:val="lrTb"/>
            <w:noWrap w:val="false"/>
          </w:tcPr>
          <w:p>
            <w:pPr>
              <w:pStyle w:val="906"/>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不低于以下要求：供应商投入本项目人员:项目负责人1人，具有相关工作经验，项目经理未经采购人同意，不得变更；除项目经理外提供不少于10人的项目团队</w:t>
            </w:r>
            <w:r>
              <w:rPr>
                <w:rFonts w:hint="eastAsia" w:ascii="仿宋" w:hAnsi="仿宋" w:eastAsia="仿宋" w:cs="仿宋"/>
                <w:b/>
                <w:bCs/>
                <w:color w:val="000000"/>
                <w:sz w:val="24"/>
                <w:szCs w:val="24"/>
                <w:highlight w:val="none"/>
                <w:lang w:bidi="ar"/>
              </w:rPr>
              <w:t xml:space="preserve">（提供承诺书并加盖公章）</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tc>
      </w:tr>
    </w:tbl>
    <w:p>
      <w:pPr>
        <w:pStyle w:val="988"/>
        <w:ind w:left="0" w:firstLine="480"/>
        <w:spacing w:line="360" w:lineRule="auto"/>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6、服务要求</w:t>
      </w:r>
      <w:r>
        <w:rPr>
          <w:rFonts w:hint="eastAsia" w:ascii="仿宋" w:hAnsi="仿宋" w:eastAsia="仿宋" w:cs="仿宋"/>
          <w:color w:val="000000"/>
          <w:sz w:val="24"/>
          <w:szCs w:val="24"/>
          <w:highlight w:val="none"/>
          <w:lang w:bidi="ar"/>
        </w:rPr>
      </w:r>
      <w:r/>
    </w:p>
    <w:tbl>
      <w:tblPr>
        <w:tblW w:w="95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2"/>
        <w:gridCol w:w="2593"/>
        <w:gridCol w:w="6092"/>
      </w:tblGrid>
      <w:tr>
        <w:trPr>
          <w:trHeight w:val="74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93" w:type="dxa"/>
            <w:vAlign w:val="center"/>
            <w:textDirection w:val="lrTb"/>
            <w:noWrap/>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92" w:type="dxa"/>
            <w:vAlign w:val="center"/>
            <w:textDirection w:val="lrTb"/>
            <w:noWrap w:val="false"/>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rPr>
            </w:r>
            <w:r/>
          </w:p>
        </w:tc>
      </w:tr>
      <w:tr>
        <w:trPr>
          <w:trHeight w:val="132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93" w:type="dxa"/>
            <w:vAlign w:val="center"/>
            <w:textDirection w:val="lrTb"/>
            <w:noWrap/>
          </w:tcPr>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092"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成交供应商承诺为本项目提供二年（含）以上质保（自验收合格之日起进入质保期），要求提供的服务质量应当符合响应文件的约定</w:t>
            </w:r>
            <w:r>
              <w:rPr>
                <w:rFonts w:hint="eastAsia" w:ascii="仿宋" w:hAnsi="仿宋" w:eastAsia="仿宋" w:cs="仿宋"/>
                <w:b/>
                <w:bCs/>
                <w:color w:val="000000"/>
                <w:sz w:val="24"/>
                <w:szCs w:val="24"/>
                <w:highlight w:val="none"/>
              </w:rPr>
              <w:t xml:space="preserve">（提供承诺书并加盖公章）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978"/>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93" w:type="dxa"/>
            <w:vAlign w:val="center"/>
            <w:textDirection w:val="lrTb"/>
            <w:noWrap/>
          </w:tcPr>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技术培训</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092" w:type="dxa"/>
            <w:vAlign w:val="center"/>
            <w:textDirection w:val="lrTb"/>
            <w:noWrap w:val="false"/>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成交供应商需提供不少于24学时的技术培训课程，包括但不限于使用方式、保护措施等</w:t>
            </w:r>
            <w:r>
              <w:rPr>
                <w:rFonts w:hint="eastAsia" w:ascii="仿宋" w:hAnsi="仿宋" w:eastAsia="仿宋" w:cs="仿宋"/>
                <w:b/>
                <w:bCs/>
                <w:color w:val="000000"/>
                <w:sz w:val="24"/>
                <w:szCs w:val="24"/>
                <w:highlight w:val="none"/>
              </w:rPr>
              <w:t xml:space="preserve">（提供承诺书并加盖公章）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915"/>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93" w:type="dxa"/>
            <w:vAlign w:val="center"/>
            <w:textDirection w:val="lrTb"/>
            <w:noWrap/>
          </w:tcPr>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售后服务</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092" w:type="dxa"/>
            <w:vAlign w:val="center"/>
            <w:textDirection w:val="lrTb"/>
            <w:noWrap/>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针对供应商所提供的售后服务方案，方案包括但不限于:服务标准、服务流程、服务内容、响应时间、保障措施。</w:t>
            </w:r>
            <w:r>
              <w:rPr>
                <w:rFonts w:hint="eastAsia" w:ascii="仿宋" w:hAnsi="仿宋" w:eastAsia="仿宋" w:cs="仿宋"/>
                <w:color w:val="000000"/>
                <w:sz w:val="24"/>
                <w:szCs w:val="24"/>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0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93" w:type="dxa"/>
            <w:vAlign w:val="center"/>
            <w:textDirection w:val="lrTb"/>
            <w:noWrap/>
          </w:tcPr>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运维服务方案</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92" w:type="dxa"/>
            <w:vAlign w:val="center"/>
            <w:textDirection w:val="lrTb"/>
            <w:noWrap/>
          </w:tcPr>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供应商提供针对本项目的运维服务方案，包含运维服务机制、技术服务能力以及人员配备。</w:t>
            </w:r>
            <w:r>
              <w:rPr>
                <w:rFonts w:hint="eastAsia" w:ascii="仿宋" w:hAnsi="仿宋" w:eastAsia="仿宋" w:cs="仿宋"/>
                <w:color w:val="000000"/>
                <w:sz w:val="24"/>
                <w:szCs w:val="24"/>
                <w:highlight w:val="none"/>
              </w:rPr>
            </w:r>
            <w:r/>
          </w:p>
        </w:tc>
      </w:tr>
    </w:tbl>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五、质量要求：符合国家质量验收标准。</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成交供应商的施工质量应符合国家质量验收标准。质保期间凡工程出现非人为因素（不可抗力除外）导致的损坏，成交供应商需于采购人告之之日起三日内免费维修完毕。经修补后依然达不到约定的质量标准，或者质量问题严重，无法修补，采购人有权雇用其他的承包人修复本工程，使之能够验收合格，所发生的一切费用及由此给采购人造成的经济损失均由成交供应商承担。若为不合格工程，成交供应商应承担由此造成的一切损失，并按合同总价的10%支付违约金。</w:t>
      </w:r>
      <w:r>
        <w:rPr>
          <w:rFonts w:hint="eastAsia" w:ascii="仿宋" w:hAnsi="仿宋" w:eastAsia="仿宋" w:cs="仿宋"/>
          <w:color w:val="000000"/>
          <w:sz w:val="24"/>
          <w:szCs w:val="24"/>
          <w:highlight w:val="none"/>
          <w:lang w:bidi="ar"/>
        </w:rPr>
      </w:r>
      <w:r/>
    </w:p>
    <w:p>
      <w:pPr>
        <w:pStyle w:val="906"/>
        <w:ind w:firstLine="480"/>
        <w:jc w:val="left"/>
        <w:spacing w:line="5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2、工程使用的所有材料，本项目主要材料</w:t>
      </w:r>
      <w:r>
        <w:rPr>
          <w:rFonts w:hint="eastAsia" w:ascii="仿宋" w:hAnsi="仿宋" w:eastAsia="仿宋" w:cs="仿宋"/>
          <w:color w:val="000000"/>
          <w:sz w:val="24"/>
          <w:szCs w:val="24"/>
          <w:highlight w:val="none"/>
          <w:lang w:bidi="ar"/>
        </w:rPr>
        <w:t xml:space="preserve">，除满足设计要求、规范要求及国家、地方、行业有关规范要求外，其外观、颜色、文理、光泽、花纹、外形尺寸等须经采购人、现场监理单位认可。以上材料的采购前，须提交小样经设计师及采购人、现场监理单位认可后方可进场，如果实际采购和安装的材料与封样不符，采购人有权要求成交供应商更换，损失由成交供应商承担，并由成交供应商承担一切责任。如发生所供材料与封样不符，采购人有权拒用，成交供应商提供的施工材料、产品的质量符合国家行业规定及相关环保要求（投标时提供符合上述要求的承诺书并编入响应文件中，格式自拟。否则作无效响应处理）。</w:t>
      </w:r>
      <w:r>
        <w:rPr>
          <w:rFonts w:hint="eastAsia" w:ascii="仿宋" w:hAnsi="仿宋" w:eastAsia="仿宋" w:cs="仿宋"/>
          <w:color w:val="000000"/>
          <w:sz w:val="24"/>
          <w:szCs w:val="24"/>
          <w:highlight w:val="none"/>
          <w:lang w:bidi="ar"/>
        </w:rPr>
      </w:r>
      <w:r/>
    </w:p>
    <w:p>
      <w:pPr>
        <w:pStyle w:val="1003"/>
        <w:ind w:firstLine="0"/>
        <w:rPr>
          <w:rFonts w:hint="eastAsia" w:ascii="仿宋" w:hAnsi="仿宋" w:eastAsia="仿宋" w:cs="仿宋"/>
          <w:color w:val="000000"/>
          <w:sz w:val="24"/>
          <w:highlight w:val="none"/>
        </w:rPr>
      </w:pPr>
      <w:r>
        <w:rPr>
          <w:rFonts w:hint="eastAsia" w:ascii="仿宋" w:hAnsi="仿宋" w:eastAsia="仿宋" w:cs="仿宋"/>
          <w:color w:val="000000"/>
          <w:sz w:val="24"/>
          <w:highlight w:val="none"/>
        </w:rPr>
        <mc:AlternateContent>
          <mc:Choice Requires="wpg">
            <w:drawing>
              <wp:inline xmlns:wp="http://schemas.openxmlformats.org/drawingml/2006/wordprocessingDrawing" distT="0" distB="0" distL="0" distR="0">
                <wp:extent cx="5916054" cy="71300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916054" cy="71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8pt;height:56.1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color w:val="000000"/>
          <w:sz w:val="24"/>
          <w:highlight w:val="none"/>
        </w:rPr>
      </w:r>
      <w:r/>
    </w:p>
    <w:p>
      <w:pPr>
        <w:pStyle w:val="906"/>
        <w:ind w:firstLine="480"/>
        <w:jc w:val="left"/>
        <w:spacing w:line="48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a.项目负责人无在建。</w:t>
      </w:r>
      <w:r>
        <w:rPr>
          <w:rFonts w:hint="eastAsia" w:ascii="仿宋" w:hAnsi="仿宋" w:eastAsia="仿宋" w:cs="仿宋"/>
          <w:color w:val="000000"/>
          <w:sz w:val="24"/>
          <w:szCs w:val="24"/>
          <w:highlight w:val="none"/>
          <w:lang w:bidi="ar"/>
        </w:rPr>
      </w:r>
      <w:r/>
    </w:p>
    <w:p>
      <w:pPr>
        <w:pStyle w:val="906"/>
        <w:ind w:firstLine="480"/>
        <w:jc w:val="left"/>
        <w:spacing w:line="48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b.项目负责人不得同时在两个或者两个以上单位受聘或者执业； （包括但不限于以下情况: 1）同时在两个及以上单位签订劳动合同或缴纳社会保险； 2）将本人执（职）业资格证书同时注册在两个及以上单位。）</w:t>
      </w:r>
      <w:r>
        <w:rPr>
          <w:rFonts w:hint="eastAsia" w:ascii="仿宋" w:hAnsi="仿宋" w:eastAsia="仿宋" w:cs="仿宋"/>
          <w:color w:val="000000"/>
          <w:sz w:val="24"/>
          <w:szCs w:val="24"/>
          <w:highlight w:val="none"/>
          <w:lang w:bidi="ar"/>
        </w:rPr>
      </w:r>
      <w:r/>
    </w:p>
    <w:p>
      <w:pPr>
        <w:pStyle w:val="906"/>
        <w:ind w:firstLine="480"/>
        <w:jc w:val="left"/>
        <w:spacing w:line="48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c.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d.项目负责人无行贿犯罪行为记录；或者有行贿犯罪行为记录，但自记录之日起已超过5年的。</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e.本项目不接受供应商拟派项目负责人同时任个体工商户（个体经济组织）经营者。</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f、项目负责人每天不少于6小时，每周不少于6个日历日在本工程现场工作；如发现项目负责人一周内有两天以上不在现场，或者一周内在现场工作时间累计少于30小时，则视为供应商违约，应按2000元/次支付违约金，且采购人有权就此行为向有关部门和单位举报和投诉，并要求供应商更换项目负责人。</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g、未经采购人同意不得擅自更换项目负责人，确需更换的，不得降低相应的资格条件，并履行相关变更手续，并由采购人核验用工关系。</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七、技术负责人及施工人员（包含施工员、质量员、安全员、资料员等）必须常驻现场，每周不少于5个工作日，每日不少于8小时。如缺席一日，每人每次罚款1000元，上不封顶，采购人有权从任意一期支付的工程款中直接扣除。</w:t>
      </w:r>
      <w:r>
        <w:rPr>
          <w:rFonts w:hint="eastAsia" w:ascii="仿宋" w:hAnsi="仿宋" w:eastAsia="仿宋" w:cs="仿宋"/>
          <w:color w:val="000000"/>
          <w:sz w:val="24"/>
          <w:szCs w:val="24"/>
          <w:highlight w:val="none"/>
          <w:lang w:bidi="ar"/>
        </w:rPr>
      </w:r>
      <w:r/>
    </w:p>
    <w:p>
      <w:pPr>
        <w:pStyle w:val="906"/>
        <w:ind w:firstLine="482"/>
        <w:jc w:val="left"/>
        <w:spacing w:line="360" w:lineRule="auto"/>
        <w:widowControl/>
        <w:rPr>
          <w:rFonts w:hint="eastAsia" w:ascii="仿宋" w:hAnsi="仿宋" w:eastAsia="仿宋" w:cs="仿宋"/>
          <w:b/>
          <w:bCs/>
          <w:color w:val="000000"/>
          <w:sz w:val="24"/>
          <w:szCs w:val="24"/>
          <w:highlight w:val="none"/>
          <w:lang w:bidi="ar"/>
        </w:rPr>
      </w:pPr>
      <w:r>
        <w:rPr>
          <w:rFonts w:hint="eastAsia" w:ascii="仿宋" w:hAnsi="仿宋" w:eastAsia="仿宋" w:cs="仿宋"/>
          <w:b/>
          <w:bCs/>
          <w:color w:val="000000"/>
          <w:sz w:val="24"/>
          <w:szCs w:val="24"/>
          <w:highlight w:val="none"/>
          <w:lang w:bidi="ar"/>
        </w:rPr>
        <w:t xml:space="preserve">八、采购人特别约定</w:t>
      </w:r>
      <w:r>
        <w:rPr>
          <w:rFonts w:hint="eastAsia" w:ascii="仿宋" w:hAnsi="仿宋" w:eastAsia="仿宋" w:cs="仿宋"/>
          <w:b/>
          <w:bCs/>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本工程不集中踏勘，但各供应商需自行踏勘。供应商应认真踏勘施工现场，熟悉现场地形、道路、地下和周围环境，了解一切可能影响施工、响应性报价的因素，且供应商应对自行获得的资料、信息的正确性负全部责任，所需费用自行承担。一旦供应商中标，中标人不得以不完全了解施工现场为由，而提出额外的赔偿、补偿、增加费用和延长工期等要求，对此采购人可不予采纳。 </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2、承包人必须保证施工场地与市政道路和施工场地内的道路畅通，并自行解决好与四邻的交通、环卫和施工噪音等问题，所需费用综合考虑在响应性报价中，结算时不调整。</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3、承包人应充分勘察施工现场，施工时，加强对施工区域内现有物品、设备及消防设施的成品保护，不得有任何损坏，否则，按上述物品或设备原件的2倍赔付给采购人，成品保护所需费用含在响应性报价中，结算时不再调整。</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4、承包商须采取措施保证施工时不得影响采购人和相邻单位的正常办公，施工现场不提供食宿条件，需供应商在场外另行安排，所需费用含在响应性报价中，结算时不调整。</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5、由于本项目工期要求较紧，各供应商在竞争性磋商文件要求的工期期限内，可根据企业自身情况，合理组织施工，确保安全施工，尽量缩短工期，为确保本工程如期完成所需的赶工措施费由供应商在响应性报价中自行考虑，结算时不另调整。</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6、采购人所提供的工程量清单仅作为统一投标报价基础的参考，各供应商现场勘查时应仔细核对施工内容，报价需谨慎考虑。</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7、为确保整体工期的开展，供应商一旦中标，在采购人发出开工令后必须按合同约定的工期完成，否则，采购人将对中标人进行工期延误的罚款，详见合同条款。</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8、项目实施中，如民工工资得不到支付保证时，发包人有权要求承包人提供拖欠民工工资单并从应支付给承包人的款项中扣留此部分费用直接支付给民工，如发生承包人的民工上访、集会、追讨工资等严重影响发包人信誉事件的，发包人将从承包人合同价中扣除2万元的作为处罚。</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9、本约定作为合同的附件。</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九、安全要求</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1、供应商遵守国家、地方现行工程建设安全生产有关管理规定，严格按安全标准实行文明施工管理，并随时接受行政监督机构及其安全检查人员依法实施的监督检查。</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3、供应商应做到文明施工，不得扰民，做好施工现场整洁，做好已有设施和装修的保护措施，如有损坏采购人有权要求赔偿，施工垃圾及时清运，清运手续、费用由施工方自行解决。</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4、供应商在施工期间严格遵守采购人的相关工作规定。</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5、其他安全要求具体详见合同条款。</w:t>
      </w:r>
      <w:r>
        <w:rPr>
          <w:rFonts w:hint="eastAsia" w:ascii="仿宋" w:hAnsi="仿宋" w:eastAsia="仿宋" w:cs="仿宋"/>
          <w:color w:val="000000"/>
          <w:sz w:val="24"/>
          <w:szCs w:val="24"/>
          <w:highlight w:val="none"/>
          <w:lang w:bidi="ar"/>
        </w:rPr>
      </w:r>
      <w:r/>
    </w:p>
    <w:p>
      <w:pPr>
        <w:pStyle w:val="906"/>
        <w:ind w:firstLine="480"/>
        <w:jc w:val="left"/>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十、供应商自购材料，其规格、技术指标、质量等级详见施工图及工程量清单，同时必须满足相关现行技术规范要求。报价时考虑各种因素，材料进场前经采购方或监理方签字认可后方能进场，否则不予认可。</w:t>
      </w:r>
      <w:r>
        <w:rPr>
          <w:rFonts w:hint="eastAsia" w:ascii="仿宋" w:hAnsi="仿宋" w:eastAsia="仿宋" w:cs="仿宋"/>
          <w:color w:val="000000"/>
          <w:sz w:val="24"/>
          <w:szCs w:val="24"/>
          <w:highlight w:val="none"/>
          <w:lang w:bidi="ar"/>
        </w:rPr>
      </w:r>
      <w:r/>
    </w:p>
    <w:p>
      <w:pPr>
        <w:pStyle w:val="90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rPr>
        <w:t xml:space="preserve">、施工垃圾清运管理应严格遵守《南京市建筑垃圾管理办法》</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bCs/>
          <w:color w:val="000000"/>
          <w:sz w:val="24"/>
          <w:szCs w:val="24"/>
          <w:highlight w:val="none"/>
          <w:lang w:bidi="ar"/>
        </w:rPr>
      </w:pPr>
      <w:r>
        <w:rPr>
          <w:rFonts w:hint="eastAsia" w:ascii="仿宋" w:hAnsi="仿宋" w:eastAsia="仿宋" w:cs="仿宋"/>
          <w:bCs/>
          <w:color w:val="000000"/>
          <w:sz w:val="24"/>
          <w:szCs w:val="24"/>
          <w:highlight w:val="none"/>
          <w:lang w:bidi="ar"/>
        </w:rPr>
        <w:t xml:space="preserve">1、成交供应商须严格按照"工完场清"原则，对施工过程中产生的建筑垃圾、废弃材料等做到日产日清，不得在现场堆放超过24小时。</w:t>
      </w:r>
      <w:r>
        <w:rPr>
          <w:rFonts w:hint="eastAsia" w:ascii="仿宋" w:hAnsi="仿宋" w:eastAsia="仿宋" w:cs="仿宋"/>
          <w:bCs/>
          <w:color w:val="000000"/>
          <w:sz w:val="24"/>
          <w:szCs w:val="24"/>
          <w:highlight w:val="none"/>
          <w:lang w:bidi="ar"/>
        </w:rPr>
      </w:r>
      <w:r/>
    </w:p>
    <w:p>
      <w:pPr>
        <w:pStyle w:val="906"/>
        <w:ind w:firstLine="480"/>
        <w:jc w:val="left"/>
        <w:spacing w:line="360" w:lineRule="auto"/>
        <w:rPr>
          <w:rFonts w:hint="eastAsia" w:ascii="仿宋" w:hAnsi="仿宋" w:eastAsia="仿宋" w:cs="仿宋"/>
          <w:bCs/>
          <w:color w:val="000000"/>
          <w:sz w:val="24"/>
          <w:szCs w:val="24"/>
          <w:highlight w:val="none"/>
          <w:lang w:bidi="ar"/>
        </w:rPr>
      </w:pPr>
      <w:r>
        <w:rPr>
          <w:rFonts w:hint="eastAsia" w:ascii="仿宋" w:hAnsi="仿宋" w:eastAsia="仿宋" w:cs="仿宋"/>
          <w:bCs/>
          <w:color w:val="000000"/>
          <w:sz w:val="24"/>
          <w:szCs w:val="24"/>
          <w:highlight w:val="none"/>
          <w:lang w:bidi="ar"/>
        </w:rPr>
        <w:t xml:space="preserve">2、垃圾清运须由具备资质的单位处理，运输车辆应采取密闭措施，防止遗撒、扬尘，并运至政府指定的消纳场所，严禁随意倾倒。</w:t>
      </w:r>
      <w:r>
        <w:rPr>
          <w:rFonts w:hint="eastAsia" w:ascii="仿宋" w:hAnsi="仿宋" w:eastAsia="仿宋" w:cs="仿宋"/>
          <w:bCs/>
          <w:color w:val="000000"/>
          <w:sz w:val="24"/>
          <w:szCs w:val="24"/>
          <w:highlight w:val="none"/>
          <w:lang w:bidi="ar"/>
        </w:rPr>
      </w:r>
      <w:r/>
    </w:p>
    <w:p>
      <w:pPr>
        <w:pStyle w:val="906"/>
        <w:ind w:firstLine="480"/>
        <w:jc w:val="left"/>
        <w:spacing w:line="360" w:lineRule="auto"/>
        <w:rPr>
          <w:rFonts w:hint="eastAsia" w:ascii="仿宋" w:hAnsi="仿宋" w:eastAsia="仿宋" w:cs="仿宋"/>
          <w:bCs/>
          <w:color w:val="000000"/>
          <w:sz w:val="24"/>
          <w:szCs w:val="24"/>
          <w:highlight w:val="none"/>
          <w:lang w:bidi="ar"/>
        </w:rPr>
      </w:pPr>
      <w:r>
        <w:rPr>
          <w:rFonts w:hint="eastAsia" w:ascii="仿宋" w:hAnsi="仿宋" w:eastAsia="仿宋" w:cs="仿宋"/>
          <w:bCs/>
          <w:color w:val="000000"/>
          <w:sz w:val="24"/>
          <w:szCs w:val="24"/>
          <w:highlight w:val="none"/>
          <w:lang w:bidi="ar"/>
        </w:rPr>
        <w:t xml:space="preserve">3、若因垃圾未及时清理导致场地污染、安全隐患或行政处罚的，乙方应承担全部整改费用及甲方因此遭受的损失。</w:t>
      </w:r>
      <w:r>
        <w:rPr>
          <w:rFonts w:hint="eastAsia" w:ascii="仿宋" w:hAnsi="仿宋" w:eastAsia="仿宋" w:cs="仿宋"/>
          <w:bCs/>
          <w:color w:val="000000"/>
          <w:sz w:val="24"/>
          <w:szCs w:val="24"/>
          <w:highlight w:val="none"/>
          <w:lang w:bidi="ar"/>
        </w:rPr>
      </w:r>
      <w:r/>
    </w:p>
    <w:p>
      <w:pPr>
        <w:pStyle w:val="906"/>
        <w:ind w:firstLine="482"/>
        <w:jc w:val="left"/>
        <w:spacing w:line="360" w:lineRule="auto"/>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bidi="ar"/>
        </w:rPr>
        <w:t xml:space="preserve">十</w:t>
      </w:r>
      <w:r>
        <w:rPr>
          <w:rFonts w:hint="eastAsia" w:ascii="仿宋" w:hAnsi="仿宋" w:eastAsia="仿宋" w:cs="仿宋"/>
          <w:b/>
          <w:color w:val="000000"/>
          <w:sz w:val="24"/>
          <w:szCs w:val="24"/>
          <w:highlight w:val="none"/>
          <w:lang w:val="en-US" w:eastAsia="zh-CN" w:bidi="ar"/>
        </w:rPr>
        <w:t xml:space="preserve">二</w:t>
      </w:r>
      <w:r>
        <w:rPr>
          <w:rFonts w:hint="eastAsia" w:ascii="仿宋" w:hAnsi="仿宋" w:eastAsia="仿宋" w:cs="仿宋"/>
          <w:b/>
          <w:color w:val="000000"/>
          <w:sz w:val="24"/>
          <w:szCs w:val="24"/>
          <w:highlight w:val="none"/>
          <w:lang w:bidi="ar"/>
        </w:rPr>
        <w:t xml:space="preserve">、维保要求</w:t>
      </w:r>
      <w:r>
        <w:rPr>
          <w:rFonts w:hint="eastAsia" w:ascii="仿宋" w:hAnsi="仿宋" w:eastAsia="仿宋" w:cs="仿宋"/>
          <w:b/>
          <w:color w:val="000000"/>
          <w:sz w:val="24"/>
          <w:szCs w:val="24"/>
          <w:highlight w:val="none"/>
          <w:lang w:bidi="ar"/>
        </w:rPr>
      </w:r>
      <w:r/>
    </w:p>
    <w:p>
      <w:pPr>
        <w:pStyle w:val="906"/>
        <w:ind w:firstLine="480"/>
        <w:jc w:val="left"/>
        <w:spacing w:line="360" w:lineRule="auto"/>
        <w:rPr>
          <w:rFonts w:hint="eastAsia" w:ascii="仿宋" w:hAnsi="仿宋" w:eastAsia="仿宋" w:cs="仿宋"/>
          <w:bCs/>
          <w:color w:val="000000"/>
          <w:sz w:val="24"/>
          <w:szCs w:val="24"/>
          <w:highlight w:val="none"/>
          <w:lang w:bidi="ar"/>
        </w:rPr>
      </w:pPr>
      <w:r>
        <w:rPr>
          <w:rFonts w:hint="eastAsia" w:ascii="仿宋" w:hAnsi="仿宋" w:eastAsia="仿宋" w:cs="仿宋"/>
          <w:bCs/>
          <w:color w:val="000000"/>
          <w:sz w:val="24"/>
          <w:szCs w:val="24"/>
          <w:highlight w:val="none"/>
          <w:lang w:bidi="ar"/>
        </w:rPr>
        <w:t xml:space="preserve">1、在质保期内，成交供应商应负责修复工程质量缺陷，并承担因成交供应商的责任而发生的相应费用。质量保修范围包括合同内所有项目的施工和设备的质量保修。具体保修的内容按中华人民共和国国务院 279 号《建设工程质量管理条例》执行。其他维保要求具体详见合同条款。</w:t>
      </w:r>
      <w:r>
        <w:rPr>
          <w:rFonts w:hint="eastAsia" w:ascii="仿宋" w:hAnsi="仿宋" w:eastAsia="仿宋" w:cs="仿宋"/>
          <w:bCs/>
          <w:color w:val="000000"/>
          <w:sz w:val="24"/>
          <w:szCs w:val="24"/>
          <w:highlight w:val="none"/>
          <w:lang w:bidi="ar"/>
        </w:rPr>
      </w:r>
      <w:r/>
    </w:p>
    <w:p>
      <w:pPr>
        <w:pStyle w:val="906"/>
        <w:ind w:firstLine="482"/>
        <w:jc w:val="left"/>
        <w:spacing w:line="360" w:lineRule="auto"/>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bidi="ar"/>
        </w:rPr>
        <w:t xml:space="preserve">十</w:t>
      </w:r>
      <w:r>
        <w:rPr>
          <w:rFonts w:hint="eastAsia" w:ascii="仿宋" w:hAnsi="仿宋" w:eastAsia="仿宋" w:cs="仿宋"/>
          <w:b/>
          <w:color w:val="000000"/>
          <w:sz w:val="24"/>
          <w:szCs w:val="24"/>
          <w:highlight w:val="none"/>
          <w:lang w:val="en-US" w:eastAsia="zh-CN" w:bidi="ar"/>
        </w:rPr>
        <w:t xml:space="preserve">三</w:t>
      </w:r>
      <w:r>
        <w:rPr>
          <w:rFonts w:hint="eastAsia" w:ascii="仿宋" w:hAnsi="仿宋" w:eastAsia="仿宋" w:cs="仿宋"/>
          <w:b/>
          <w:color w:val="000000"/>
          <w:sz w:val="24"/>
          <w:szCs w:val="24"/>
          <w:highlight w:val="none"/>
          <w:lang w:bidi="ar"/>
        </w:rPr>
        <w:t xml:space="preserve">、付款方式：详见施工合同相应条款。</w:t>
      </w:r>
      <w:r>
        <w:rPr>
          <w:rFonts w:hint="eastAsia" w:ascii="仿宋" w:hAnsi="仿宋" w:eastAsia="仿宋" w:cs="仿宋"/>
          <w:b/>
          <w:color w:val="000000"/>
          <w:sz w:val="24"/>
          <w:szCs w:val="24"/>
          <w:highlight w:val="none"/>
          <w:lang w:bidi="ar"/>
        </w:rPr>
      </w:r>
      <w:r/>
    </w:p>
    <w:p>
      <w:pPr>
        <w:pStyle w:val="906"/>
        <w:ind w:firstLine="480"/>
        <w:jc w:val="left"/>
        <w:spacing w:line="360" w:lineRule="auto"/>
        <w:rPr>
          <w:rFonts w:hint="eastAsia" w:ascii="仿宋" w:hAnsi="仿宋" w:eastAsia="仿宋" w:cs="仿宋"/>
          <w:bCs/>
          <w:color w:val="000000"/>
          <w:sz w:val="24"/>
          <w:szCs w:val="24"/>
          <w:highlight w:val="none"/>
          <w:lang w:bidi="ar"/>
        </w:rPr>
      </w:pPr>
      <w:r>
        <w:rPr>
          <w:rFonts w:hint="eastAsia" w:ascii="仿宋" w:hAnsi="仿宋" w:eastAsia="仿宋" w:cs="仿宋"/>
          <w:bCs/>
          <w:color w:val="000000"/>
          <w:sz w:val="24"/>
          <w:szCs w:val="24"/>
          <w:highlight w:val="none"/>
          <w:lang w:val="en-US" w:eastAsia="zh-CN" w:bidi="ar"/>
        </w:rPr>
        <w:t xml:space="preserve">十四、</w:t>
      </w:r>
      <w:r>
        <w:rPr>
          <w:rFonts w:hint="eastAsia" w:ascii="仿宋" w:hAnsi="仿宋" w:eastAsia="仿宋" w:cs="仿宋"/>
          <w:bCs/>
          <w:color w:val="000000"/>
          <w:sz w:val="24"/>
          <w:szCs w:val="24"/>
          <w:highlight w:val="none"/>
          <w:lang w:bidi="ar"/>
        </w:rPr>
        <w:t xml:space="preserve">请各投标人自行到网易邮箱（账号：Yxtuzhixiazai@163.com,密码：Tuzhi123）下载本项目的施工图纸。未下载图纸由此产生的一切后果均由投标人自行承担。</w:t>
      </w:r>
      <w:r>
        <w:rPr>
          <w:rFonts w:hint="eastAsia" w:ascii="仿宋" w:hAnsi="仿宋" w:eastAsia="仿宋" w:cs="仿宋"/>
          <w:bCs/>
          <w:color w:val="000000"/>
          <w:sz w:val="24"/>
          <w:szCs w:val="24"/>
          <w:highlight w:val="none"/>
          <w:lang w:bidi="ar"/>
        </w:rPr>
      </w:r>
      <w:r/>
    </w:p>
    <w:p>
      <w:pPr>
        <w:pStyle w:val="942"/>
        <w:rPr>
          <w:rFonts w:hint="eastAsia" w:eastAsia="仿宋"/>
          <w:lang w:val="en-US" w:eastAsia="zh-CN"/>
        </w:rPr>
      </w:pPr>
      <w:r>
        <w:rPr>
          <w:rFonts w:hint="eastAsia" w:eastAsia="仿宋"/>
          <w:lang w:val="en-US" w:eastAsia="zh-CN"/>
        </w:rPr>
      </w:r>
      <w:r/>
    </w:p>
    <w:p>
      <w:pPr>
        <w:pStyle w:val="906"/>
        <w:ind w:firstLine="480"/>
        <w:jc w:val="left"/>
        <w:spacing w:line="360" w:lineRule="auto"/>
        <w:rPr>
          <w:rFonts w:hint="eastAsia" w:ascii="仿宋" w:hAnsi="仿宋" w:eastAsia="仿宋" w:cs="仿宋"/>
          <w:bCs/>
          <w:color w:val="000000"/>
          <w:sz w:val="24"/>
          <w:szCs w:val="24"/>
          <w:highlight w:val="none"/>
          <w:lang w:bidi="ar"/>
        </w:rPr>
      </w:pPr>
      <w:r>
        <w:rPr>
          <w:rFonts w:hint="eastAsia" w:ascii="仿宋" w:hAnsi="仿宋" w:eastAsia="仿宋" w:cs="仿宋"/>
          <w:bCs/>
          <w:color w:val="000000"/>
          <w:sz w:val="24"/>
          <w:szCs w:val="24"/>
          <w:highlight w:val="none"/>
          <w:lang w:bidi="ar"/>
        </w:rPr>
      </w:r>
      <w:r/>
    </w:p>
    <w:p>
      <w:pPr>
        <w:pStyle w:val="906"/>
        <w:ind w:firstLine="482"/>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特别说明：本章所有内容均为实质性要求均</w:t>
      </w:r>
      <w:r>
        <w:rPr>
          <w:rFonts w:hint="eastAsia" w:ascii="仿宋" w:hAnsi="仿宋" w:eastAsia="仿宋" w:cs="仿宋"/>
          <w:b/>
          <w:bCs/>
          <w:color w:val="000000"/>
          <w:sz w:val="24"/>
          <w:szCs w:val="24"/>
          <w:highlight w:val="none"/>
        </w:rPr>
        <w:t xml:space="preserve">须</w:t>
      </w:r>
      <w:r>
        <w:rPr>
          <w:rFonts w:hint="eastAsia" w:ascii="仿宋" w:hAnsi="仿宋" w:eastAsia="仿宋" w:cs="仿宋"/>
          <w:b/>
          <w:bCs/>
          <w:color w:val="000000"/>
          <w:sz w:val="24"/>
          <w:szCs w:val="24"/>
          <w:highlight w:val="none"/>
          <w:lang w:val="zh-CN"/>
        </w:rPr>
        <w:t xml:space="preserve">投标供应商响应，不接受负偏离（负偏离作无效标处理）。</w:t>
      </w:r>
      <w:r>
        <w:rPr>
          <w:rFonts w:hint="eastAsia" w:ascii="仿宋" w:hAnsi="仿宋" w:eastAsia="仿宋" w:cs="仿宋"/>
          <w:color w:val="000000"/>
          <w:sz w:val="24"/>
          <w:szCs w:val="24"/>
          <w:highlight w:val="none"/>
          <w:lang w:val="zh-CN"/>
        </w:rPr>
      </w:r>
      <w:r/>
    </w:p>
    <w:p>
      <w:pPr>
        <w:pStyle w:val="906"/>
        <w:jc w:val="center"/>
        <w:rPr>
          <w:rStyle w:val="996"/>
          <w:rFonts w:hint="eastAsia" w:ascii="仿宋" w:hAnsi="仿宋" w:eastAsia="仿宋" w:cs="仿宋"/>
          <w:color w:val="000000"/>
          <w:sz w:val="24"/>
          <w:szCs w:val="24"/>
          <w:highlight w:val="none"/>
        </w:rPr>
        <w:outlineLvl w:val="0"/>
      </w:pPr>
      <w:r>
        <w:rPr>
          <w:rStyle w:val="996"/>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sectPr>
          <w:headerReference w:type="first" r:id="rId9"/>
          <w:footerReference w:type="default" r:id="rId15"/>
          <w:footerReference w:type="first" r:id="rId16"/>
          <w:footnotePr/>
          <w:endnotePr/>
          <w:type w:val="nextPage"/>
          <w:pgSz w:w="11907" w:h="16840" w:orient="portrait"/>
          <w:pgMar w:top="1327" w:right="1293" w:bottom="1270" w:left="1293" w:header="851" w:footer="992" w:gutter="0"/>
          <w:cols w:num="1" w:sep="0" w:space="1701" w:equalWidth="1"/>
          <w:docGrid w:linePitch="360"/>
          <w:titlePg/>
        </w:sectPr>
      </w:pPr>
      <w:r>
        <w:rPr>
          <w:rFonts w:hint="eastAsia" w:ascii="仿宋" w:hAnsi="仿宋" w:eastAsia="仿宋" w:cs="仿宋"/>
          <w:bCs/>
          <w:color w:val="000000"/>
          <w:sz w:val="24"/>
          <w:szCs w:val="24"/>
          <w:highlight w:val="none"/>
        </w:rPr>
      </w:r>
      <w:r/>
    </w:p>
    <w:p>
      <w:pPr>
        <w:pStyle w:val="982"/>
        <w:spacing w:line="360" w:lineRule="auto"/>
        <w:rPr>
          <w:rFonts w:hint="eastAsia" w:ascii="仿宋" w:hAnsi="仿宋" w:eastAsia="仿宋" w:cs="仿宋"/>
          <w:color w:val="000000"/>
          <w:highlight w:val="none"/>
          <w:lang w:val="zh-CN"/>
        </w:rPr>
      </w:pPr>
      <w:r/>
      <w:bookmarkStart w:id="156" w:name="_Toc14003"/>
      <w:r>
        <w:rPr>
          <w:rFonts w:hint="eastAsia" w:ascii="仿宋" w:hAnsi="仿宋" w:eastAsia="仿宋" w:cs="仿宋"/>
          <w:color w:val="000000"/>
          <w:highlight w:val="none"/>
          <w:lang w:val="zh-CN"/>
        </w:rPr>
        <w:t xml:space="preserve">第五章 合同主要条款及格式</w:t>
      </w:r>
      <w:bookmarkEnd w:id="156"/>
      <w:r>
        <w:rPr>
          <w:rFonts w:hint="eastAsia" w:ascii="仿宋" w:hAnsi="仿宋" w:eastAsia="仿宋" w:cs="仿宋"/>
          <w:color w:val="000000"/>
          <w:highlight w:val="none"/>
          <w:lang w:val="zh-CN"/>
        </w:rPr>
      </w:r>
      <w:r/>
    </w:p>
    <w:p>
      <w:pPr>
        <w:pStyle w:val="906"/>
        <w:ind w:firstLine="44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906"/>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建设工程施工合同</w:t>
      </w:r>
      <w:r>
        <w:rPr>
          <w:rFonts w:hint="eastAsia" w:ascii="仿宋" w:hAnsi="仿宋" w:eastAsia="仿宋" w:cs="仿宋"/>
          <w:b/>
          <w:color w:val="000000"/>
          <w:sz w:val="36"/>
          <w:szCs w:val="36"/>
          <w:highlight w:val="none"/>
        </w:rPr>
      </w:r>
      <w:r/>
    </w:p>
    <w:p>
      <w:pPr>
        <w:pStyle w:val="906"/>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（示范文本）</w:t>
      </w:r>
      <w:r>
        <w:rPr>
          <w:rFonts w:hint="eastAsia" w:ascii="仿宋" w:hAnsi="仿宋" w:eastAsia="仿宋" w:cs="仿宋"/>
          <w:b/>
          <w:color w:val="000000"/>
          <w:sz w:val="36"/>
          <w:szCs w:val="36"/>
          <w:highlight w:val="none"/>
        </w:rPr>
      </w:r>
      <w:r/>
    </w:p>
    <w:p>
      <w:pPr>
        <w:pStyle w:val="906"/>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06"/>
        <w:ind w:right="2440" w:firstLine="2551"/>
        <w:rPr>
          <w:rFonts w:hint="eastAsia" w:ascii="仿宋" w:hAnsi="仿宋" w:eastAsia="仿宋" w:cs="仿宋"/>
          <w:b/>
          <w:color w:val="000000"/>
          <w:sz w:val="36"/>
          <w:szCs w:val="36"/>
          <w:highlight w:val="none"/>
        </w:rPr>
      </w:pPr>
      <w:r>
        <w:rPr>
          <w:rFonts w:hint="eastAsia" w:ascii="仿宋" w:hAnsi="仿宋" w:eastAsia="仿宋" w:cs="仿宋"/>
          <w:color w:val="000000"/>
          <w:sz w:val="36"/>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4745355</wp:posOffset>
                </wp:positionH>
                <wp:positionV relativeFrom="paragraph">
                  <wp:posOffset>91440</wp:posOffset>
                </wp:positionV>
                <wp:extent cx="64389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pStyle w:val="906"/>
                              <w:rPr>
                                <w:b/>
                                <w:bCs/>
                                <w:sz w:val="32"/>
                              </w:rPr>
                            </w:pPr>
                            <w:r>
                              <w:rPr>
                                <w:rFonts w:hint="eastAsia"/>
                                <w:b/>
                                <w:bCs/>
                                <w:sz w:val="32"/>
                              </w:rPr>
                              <w:t xml:space="preserve">制定</w:t>
                            </w:r>
                            <w:r>
                              <w:rPr>
                                <w:b/>
                                <w:bCs/>
                                <w:sz w:val="32"/>
                              </w:rPr>
                            </w:r>
                            <w:r/>
                          </w:p>
                          <w:p>
                            <w:pPr>
                              <w:pStyle w:val="906"/>
                            </w:pPr>
                            <w:r/>
                            <w:r/>
                          </w:p>
                        </w:txbxContent>
                      </wps:txbx>
                      <wps:bodyPr wrap="square" upright="1"/>
                    </wps:wsp>
                  </a:graphicData>
                </a:graphic>
              </wp:anchor>
            </w:drawing>
          </mc:Choice>
          <mc:Fallback>
            <w:pict>
              <v:shape id="shape 9" o:spid="_x0000_s9" o:spt="202" type="#_x0000_t202" style="position:absolute;z-index:524288;o:allowoverlap:true;o:allowincell:true;mso-position-horizontal-relative:text;margin-left:373.6pt;mso-position-horizontal:absolute;mso-position-vertical-relative:text;margin-top:7.2pt;mso-position-vertical:absolute;width:50.7pt;height:36.0pt;mso-wrap-distance-left:9.0pt;mso-wrap-distance-top:0.0pt;mso-wrap-distance-right:9.0pt;mso-wrap-distance-bottom:0.0pt;visibility:visible;" filled="f" strokecolor="#FFFFFF">
                <v:textbox inset="0,0,0,0">
                  <w:txbxContent>
                    <w:p>
                      <w:pPr>
                        <w:pStyle w:val="906"/>
                        <w:rPr>
                          <w:b/>
                          <w:bCs/>
                          <w:sz w:val="32"/>
                        </w:rPr>
                      </w:pPr>
                      <w:r>
                        <w:rPr>
                          <w:rFonts w:hint="eastAsia"/>
                          <w:b/>
                          <w:bCs/>
                          <w:sz w:val="32"/>
                        </w:rPr>
                        <w:t xml:space="preserve">制定</w:t>
                      </w:r>
                      <w:r>
                        <w:rPr>
                          <w:b/>
                          <w:bCs/>
                          <w:sz w:val="32"/>
                        </w:rPr>
                      </w:r>
                      <w:r/>
                    </w:p>
                    <w:p>
                      <w:pPr>
                        <w:pStyle w:val="906"/>
                      </w:pPr>
                      <w:r/>
                      <w:r/>
                    </w:p>
                  </w:txbxContent>
                </v:textbox>
              </v:shape>
            </w:pict>
          </mc:Fallback>
        </mc:AlternateContent>
      </w:r>
      <w:r>
        <w:rPr>
          <w:rFonts w:hint="eastAsia" w:ascii="仿宋" w:hAnsi="仿宋" w:eastAsia="仿宋" w:cs="仿宋"/>
          <w:b/>
          <w:color w:val="000000"/>
          <w:sz w:val="36"/>
          <w:szCs w:val="36"/>
          <w:highlight w:val="none"/>
        </w:rPr>
        <w:t xml:space="preserve">住房和城乡建设部</w:t>
      </w:r>
      <w:r>
        <w:rPr>
          <w:rFonts w:hint="eastAsia" w:ascii="仿宋" w:hAnsi="仿宋" w:eastAsia="仿宋" w:cs="仿宋"/>
          <w:b/>
          <w:color w:val="000000"/>
          <w:sz w:val="36"/>
          <w:szCs w:val="36"/>
          <w:highlight w:val="none"/>
        </w:rPr>
      </w:r>
      <w:r/>
    </w:p>
    <w:p>
      <w:pPr>
        <w:pStyle w:val="906"/>
        <w:ind w:right="2440" w:firstLine="2554"/>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国家工商行政管理总局</w:t>
      </w:r>
      <w:r>
        <w:rPr>
          <w:rFonts w:hint="eastAsia" w:ascii="仿宋" w:hAnsi="仿宋" w:eastAsia="仿宋" w:cs="仿宋"/>
          <w:b/>
          <w:color w:val="000000"/>
          <w:sz w:val="36"/>
          <w:szCs w:val="36"/>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color w:val="000000"/>
          <w:sz w:val="36"/>
          <w:szCs w:val="36"/>
          <w:highlight w:val="none"/>
        </w:rPr>
        <w:br w:type="page" w:clear="all"/>
      </w:r>
      <w:bookmarkStart w:id="157" w:name="_Toc296890982"/>
      <w:r/>
      <w:bookmarkStart w:id="158" w:name="_Toc351203480"/>
      <w:r/>
      <w:bookmarkStart w:id="159" w:name="_Toc296503025"/>
      <w:r/>
      <w:bookmarkStart w:id="160" w:name="_Toc267251511"/>
      <w:r/>
      <w:bookmarkStart w:id="161" w:name="_Toc267251509"/>
      <w:r/>
      <w:bookmarkStart w:id="162" w:name="_Toc267251514"/>
      <w:r/>
      <w:bookmarkStart w:id="163" w:name="_Toc267251510"/>
      <w:r/>
      <w:bookmarkStart w:id="164" w:name="_Toc267251515"/>
      <w:r/>
      <w:bookmarkStart w:id="165" w:name="_Toc267251513"/>
      <w:r>
        <w:rPr>
          <w:rFonts w:hint="eastAsia" w:ascii="仿宋" w:hAnsi="仿宋" w:eastAsia="仿宋" w:cs="仿宋"/>
          <w:b/>
          <w:color w:val="000000"/>
          <w:sz w:val="24"/>
          <w:szCs w:val="24"/>
          <w:highlight w:val="none"/>
        </w:rPr>
        <w:t xml:space="preserve">第一部分 合同协议书</w:t>
      </w:r>
      <w:bookmarkEnd w:id="157"/>
      <w:r/>
      <w:bookmarkEnd w:id="158"/>
      <w:r/>
      <w:bookmarkEnd w:id="159"/>
      <w:r>
        <w:rPr>
          <w:rFonts w:hint="eastAsia" w:ascii="仿宋" w:hAnsi="仿宋" w:eastAsia="仿宋" w:cs="仿宋"/>
          <w:b/>
          <w:color w:val="000000"/>
          <w:sz w:val="24"/>
          <w:szCs w:val="24"/>
          <w:highlight w:val="none"/>
        </w:rPr>
      </w:r>
      <w:r/>
    </w:p>
    <w:p>
      <w:pPr>
        <w:pStyle w:val="906"/>
        <w:ind w:left="2985" w:right="244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根据《中华人民共和国民法典》、《中华人民共和国建筑法》及有关法律规定，遵循平等、自愿、公平和诚实信用的原则，双方就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有关事项协商一致，共同达成如下协议：</w:t>
      </w:r>
      <w:bookmarkStart w:id="166" w:name="_Toc351203481"/>
      <w:r>
        <w:rPr>
          <w:rFonts w:hint="eastAsia" w:ascii="仿宋" w:hAnsi="仿宋" w:eastAsia="仿宋" w:cs="仿宋"/>
          <w:color w:val="000000"/>
          <w:sz w:val="24"/>
          <w:szCs w:val="24"/>
          <w:highlight w:val="none"/>
        </w:rPr>
      </w:r>
      <w:r/>
    </w:p>
    <w:p>
      <w:pPr>
        <w:pStyle w:val="906"/>
        <w:spacing w:line="360" w:lineRule="auto"/>
        <w:tabs>
          <w:tab w:val="left" w:pos="764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一、工程概况</w:t>
      </w:r>
      <w:bookmarkEnd w:id="166"/>
      <w:r>
        <w:rPr>
          <w:rFonts w:hint="eastAsia" w:ascii="仿宋" w:hAnsi="仿宋" w:eastAsia="仿宋" w:cs="仿宋"/>
          <w:b/>
          <w:color w:val="000000"/>
          <w:sz w:val="24"/>
          <w:szCs w:val="24"/>
          <w:highlight w:val="none"/>
        </w:rPr>
        <w:tab/>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1.工程名称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06"/>
        <w:spacing w:line="360" w:lineRule="auto"/>
        <w:tabs>
          <w:tab w:val="left" w:pos="1620" w:leader="none"/>
          <w:tab w:val="center" w:pos="4819"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2.工程地点：</w:t>
      </w:r>
      <w:r>
        <w:rPr>
          <w:rFonts w:hint="eastAsia" w:ascii="仿宋" w:hAnsi="仿宋" w:eastAsia="仿宋" w:cs="仿宋"/>
          <w:color w:val="000000"/>
          <w:sz w:val="24"/>
          <w:szCs w:val="24"/>
          <w:highlight w:val="none"/>
          <w:u w:val="single"/>
        </w:rPr>
        <w:t xml:space="preserve">南京市 </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3.工程立项批准文号：</w:t>
      </w:r>
      <w:r>
        <w:rPr>
          <w:rFonts w:hint="eastAsia" w:ascii="仿宋" w:hAnsi="仿宋" w:eastAsia="仿宋" w:cs="仿宋"/>
          <w:bCs/>
          <w:color w:val="000000"/>
          <w:sz w:val="24"/>
          <w:szCs w:val="24"/>
          <w:highlight w:val="none"/>
          <w:u w:val="single"/>
        </w:rPr>
        <w:t xml:space="preserve">已批准</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4.资金来源：</w:t>
      </w:r>
      <w:r>
        <w:rPr>
          <w:rFonts w:hint="eastAsia" w:ascii="仿宋" w:hAnsi="仿宋" w:eastAsia="仿宋" w:cs="仿宋"/>
          <w:color w:val="000000"/>
          <w:sz w:val="24"/>
          <w:szCs w:val="24"/>
          <w:highlight w:val="none"/>
          <w:u w:val="single"/>
        </w:rPr>
        <w:t xml:space="preserve">已落实</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5.招标内容：</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6.工程承包范围：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Start w:id="167" w:name="_Toc351203482"/>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二、合同工期</w:t>
      </w:r>
      <w:bookmarkEnd w:id="167"/>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计划开工日期：</w:t>
      </w:r>
      <w:r>
        <w:rPr>
          <w:rFonts w:hint="eastAsia" w:ascii="仿宋" w:hAnsi="仿宋" w:eastAsia="仿宋" w:cs="仿宋"/>
          <w:color w:val="000000"/>
          <w:sz w:val="24"/>
          <w:szCs w:val="24"/>
          <w:highlight w:val="none"/>
          <w:u w:val="single"/>
        </w:rPr>
        <w:t xml:space="preserve">2025年  月  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计划竣工日期：</w:t>
      </w:r>
      <w:r>
        <w:rPr>
          <w:rFonts w:hint="eastAsia" w:ascii="仿宋" w:hAnsi="仿宋" w:eastAsia="仿宋" w:cs="仿宋"/>
          <w:color w:val="000000"/>
          <w:sz w:val="24"/>
          <w:szCs w:val="24"/>
          <w:highlight w:val="none"/>
          <w:u w:val="single"/>
        </w:rPr>
        <w:t xml:space="preserve">2025年  月  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工期总日历天数：</w:t>
      </w:r>
      <w:r>
        <w:rPr>
          <w:rFonts w:hint="eastAsia" w:ascii="仿宋" w:hAnsi="仿宋" w:eastAsia="仿宋" w:cs="仿宋"/>
          <w:color w:val="000000"/>
          <w:sz w:val="24"/>
          <w:szCs w:val="24"/>
          <w:highlight w:val="none"/>
          <w:u w:val="single"/>
        </w:rPr>
        <w:t xml:space="preserve">       日历</w:t>
      </w:r>
      <w:r>
        <w:rPr>
          <w:rFonts w:hint="eastAsia" w:ascii="仿宋" w:hAnsi="仿宋" w:eastAsia="仿宋" w:cs="仿宋"/>
          <w:color w:val="000000"/>
          <w:sz w:val="24"/>
          <w:szCs w:val="24"/>
          <w:highlight w:val="none"/>
        </w:rPr>
        <w:t xml:space="preserve">天。工期总日历天数与根据前述计划开竣工日期计算的工期天数不一致的，以工期总日历天数为准。</w:t>
      </w:r>
      <w:bookmarkStart w:id="168" w:name="_Toc351203483"/>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三、质量标准</w:t>
      </w:r>
      <w:bookmarkEnd w:id="168"/>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工程质量符合</w:t>
      </w:r>
      <w:r>
        <w:rPr>
          <w:rFonts w:hint="eastAsia" w:ascii="仿宋" w:hAnsi="仿宋" w:eastAsia="仿宋" w:cs="仿宋"/>
          <w:color w:val="000000"/>
          <w:sz w:val="24"/>
          <w:szCs w:val="24"/>
          <w:highlight w:val="none"/>
          <w:u w:val="single"/>
        </w:rPr>
        <w:t xml:space="preserve">国家现行质量验收</w:t>
      </w:r>
      <w:r>
        <w:rPr>
          <w:rFonts w:hint="eastAsia" w:ascii="仿宋" w:hAnsi="仿宋" w:eastAsia="仿宋" w:cs="仿宋"/>
          <w:color w:val="000000"/>
          <w:sz w:val="24"/>
          <w:szCs w:val="24"/>
          <w:highlight w:val="none"/>
        </w:rPr>
        <w:t xml:space="preserve">标准。</w:t>
      </w:r>
      <w:bookmarkStart w:id="169" w:name="_Toc351203484"/>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四、签约合同价与合同价格形式</w:t>
      </w:r>
      <w:bookmarkEnd w:id="169"/>
      <w:r>
        <w:rPr>
          <w:rFonts w:hint="eastAsia" w:ascii="仿宋" w:hAnsi="仿宋" w:eastAsia="仿宋" w:cs="仿宋"/>
          <w:b/>
          <w:color w:val="000000"/>
          <w:sz w:val="24"/>
          <w:szCs w:val="24"/>
          <w:highlight w:val="none"/>
        </w:rPr>
        <w:tab/>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1.签约合同价为：</w:t>
      </w: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其中：</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（1）安全文明施工费：</w:t>
      </w: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（2）材料和工程设备暂估价金额：</w:t>
      </w: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（3）专业工程暂估价金额：</w:t>
      </w: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（4）暂列金额：</w:t>
      </w: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2.合同价格形式：</w:t>
      </w:r>
      <w:r>
        <w:rPr>
          <w:rFonts w:hint="eastAsia" w:ascii="仿宋" w:hAnsi="仿宋" w:eastAsia="仿宋" w:cs="仿宋"/>
          <w:color w:val="000000"/>
          <w:sz w:val="24"/>
          <w:szCs w:val="24"/>
          <w:highlight w:val="none"/>
          <w:u w:val="single"/>
        </w:rPr>
        <w:t xml:space="preserve">单价合同</w:t>
      </w:r>
      <w:r>
        <w:rPr>
          <w:rFonts w:hint="eastAsia" w:ascii="仿宋" w:hAnsi="仿宋" w:eastAsia="仿宋" w:cs="仿宋"/>
          <w:color w:val="000000"/>
          <w:sz w:val="24"/>
          <w:szCs w:val="24"/>
          <w:highlight w:val="none"/>
        </w:rPr>
        <w:t xml:space="preserve">。</w:t>
      </w:r>
      <w:bookmarkStart w:id="170" w:name="_Toc351203485"/>
      <w:r/>
      <w:bookmarkEnd w:id="170"/>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五、项目负责人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承包人项目负责人：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Start w:id="171" w:name="_Toc351203486"/>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六、合同文件构成</w:t>
      </w:r>
      <w:bookmarkEnd w:id="171"/>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本协议书与下列文件一起构成合同文件：</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（1）中标通知书（如果有）；</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（2）投标函及其附录（如果有）；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（3）专用合同条款及其附件；</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（4）通用合同条款；</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（5）技术标准和要求；</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（6）图纸；</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（7）已标价工程量清单或预算书；</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（8）其他合同文件。</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在合同订立及履行过程中形成的与合同有关的文件均构成合同文件组成部分。</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72" w:name="_Toc351203487"/>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七、承诺</w:t>
      </w:r>
      <w:bookmarkEnd w:id="172"/>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1.发包人承诺按照法律规定履行项目审批手续、筹集工程建设资金并按照合同约定的期限和方式支付合同价款。</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bookmarkStart w:id="173" w:name="_Toc351203488"/>
      <w:r>
        <w:rPr>
          <w:rFonts w:hint="eastAsia" w:ascii="仿宋" w:hAnsi="仿宋" w:eastAsia="仿宋" w:cs="仿宋"/>
          <w:b/>
          <w:color w:val="000000"/>
          <w:sz w:val="24"/>
          <w:szCs w:val="24"/>
          <w:highlight w:val="none"/>
        </w:rPr>
        <w:t xml:space="preserve">八、词语含义</w:t>
      </w:r>
      <w:bookmarkEnd w:id="173"/>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本协议书中词语含义与第二部分通用合同条款中赋予的含义相同。</w:t>
      </w:r>
      <w:bookmarkStart w:id="174" w:name="_Toc351203489"/>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九、签订时间</w:t>
      </w:r>
      <w:bookmarkEnd w:id="174"/>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本合同于</w:t>
      </w:r>
      <w:r>
        <w:rPr>
          <w:rFonts w:hint="eastAsia" w:ascii="仿宋" w:hAnsi="仿宋" w:eastAsia="仿宋" w:cs="仿宋"/>
          <w:bCs/>
          <w:color w:val="000000"/>
          <w:sz w:val="24"/>
          <w:szCs w:val="24"/>
          <w:highlight w:val="none"/>
          <w:u w:val="single"/>
        </w:rPr>
        <w:t xml:space="preserve"> 2025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日签订。</w:t>
      </w:r>
      <w:bookmarkStart w:id="175" w:name="_Toc351203490"/>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十、签订地点</w:t>
      </w:r>
      <w:bookmarkEnd w:id="175"/>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本合同在</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签订。</w:t>
      </w:r>
      <w:bookmarkStart w:id="176" w:name="_Toc351203491"/>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十一、补充协议</w:t>
      </w:r>
      <w:bookmarkEnd w:id="176"/>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合同未尽事宜，合同当事人另行签订补充协议，补充协议是合同的组成部分。</w:t>
      </w:r>
      <w:bookmarkStart w:id="177" w:name="_Toc351203492"/>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十二、合同生效</w:t>
      </w:r>
      <w:bookmarkEnd w:id="177"/>
      <w:r>
        <w:rPr>
          <w:rFonts w:hint="eastAsia" w:ascii="仿宋" w:hAnsi="仿宋" w:eastAsia="仿宋" w:cs="仿宋"/>
          <w:b/>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本合同自</w:t>
      </w:r>
      <w:r>
        <w:rPr>
          <w:rFonts w:hint="eastAsia" w:ascii="仿宋" w:hAnsi="仿宋" w:eastAsia="仿宋" w:cs="仿宋"/>
          <w:bCs/>
          <w:color w:val="000000"/>
          <w:sz w:val="24"/>
          <w:szCs w:val="24"/>
          <w:highlight w:val="none"/>
          <w:u w:val="single"/>
        </w:rPr>
        <w:t xml:space="preserve"> 双方签字并盖章后 </w:t>
      </w:r>
      <w:r>
        <w:rPr>
          <w:rFonts w:hint="eastAsia" w:ascii="仿宋" w:hAnsi="仿宋" w:eastAsia="仿宋" w:cs="仿宋"/>
          <w:bCs/>
          <w:color w:val="000000"/>
          <w:sz w:val="24"/>
          <w:szCs w:val="24"/>
          <w:highlight w:val="none"/>
        </w:rPr>
        <w:t xml:space="preserve">生效。</w:t>
      </w:r>
      <w:bookmarkStart w:id="178" w:name="_Toc351203493"/>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十三、合同份数</w:t>
      </w:r>
      <w:bookmarkEnd w:id="178"/>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本合同一式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份，均具有同等法律效力，发包人执</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份，承包人执</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份。</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发包人：  (公章)                        承包人：  (公章)</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法定代表人或其委托代理人：              法定代表人或其委托代理人：</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（签字）                               （签字）</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地  址：                            地  址：</w:t>
      </w:r>
      <w:r>
        <w:rPr>
          <w:rFonts w:hint="eastAsia" w:ascii="仿宋" w:hAnsi="仿宋" w:eastAsia="仿宋" w:cs="仿宋"/>
          <w:bCs/>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第二部分  通用条款</w:t>
      </w:r>
      <w:r>
        <w:rPr>
          <w:rFonts w:hint="eastAsia" w:ascii="仿宋" w:hAnsi="仿宋" w:eastAsia="仿宋" w:cs="仿宋"/>
          <w:b/>
          <w:color w:val="000000"/>
          <w:sz w:val="24"/>
          <w:szCs w:val="24"/>
          <w:highlight w:val="none"/>
        </w:rPr>
      </w:r>
      <w:r/>
    </w:p>
    <w:p>
      <w:pPr>
        <w:pStyle w:val="906"/>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按照建设工程施工合同（示范文本）（GF—2017—0201）通用条款执行。</w:t>
      </w: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06"/>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4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left="2985" w:right="24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第三部分  专用条款</w:t>
      </w:r>
      <w:r>
        <w:rPr>
          <w:rFonts w:hint="eastAsia" w:ascii="仿宋" w:hAnsi="仿宋" w:eastAsia="仿宋" w:cs="仿宋"/>
          <w:b/>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179" w:name="_Toc351203633"/>
      <w:r>
        <w:rPr>
          <w:rFonts w:hint="eastAsia" w:ascii="仿宋" w:hAnsi="仿宋" w:eastAsia="仿宋" w:cs="仿宋"/>
          <w:b w:val="0"/>
          <w:color w:val="000000"/>
          <w:sz w:val="24"/>
          <w:szCs w:val="24"/>
          <w:highlight w:val="none"/>
        </w:rPr>
        <w:t xml:space="preserve">1</w:t>
      </w:r>
      <w:bookmarkStart w:id="180" w:name="_Toc296346657"/>
      <w:r/>
      <w:bookmarkStart w:id="181" w:name="_Toc297048342"/>
      <w:r/>
      <w:bookmarkStart w:id="182" w:name="_Toc292559361"/>
      <w:r/>
      <w:bookmarkStart w:id="183" w:name="_Toc292559866"/>
      <w:r/>
      <w:bookmarkStart w:id="184" w:name="_Toc296890984"/>
      <w:r/>
      <w:bookmarkStart w:id="185" w:name="_Toc297120456"/>
      <w:r/>
      <w:bookmarkStart w:id="186" w:name="_Toc296347155"/>
      <w:r/>
      <w:bookmarkStart w:id="187" w:name="_Toc296503156"/>
      <w:r/>
      <w:bookmarkStart w:id="188" w:name="_Toc296891196"/>
      <w:r/>
      <w:bookmarkStart w:id="189" w:name="_Toc296944495"/>
      <w:r>
        <w:rPr>
          <w:rFonts w:hint="eastAsia" w:ascii="仿宋" w:hAnsi="仿宋" w:eastAsia="仿宋" w:cs="仿宋"/>
          <w:b w:val="0"/>
          <w:color w:val="000000"/>
          <w:sz w:val="24"/>
          <w:szCs w:val="24"/>
          <w:highlight w:val="none"/>
        </w:rPr>
        <w:t xml:space="preserve">. 一般约定</w:t>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词语定义</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1.1.1合同</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1.1.1.1其他合同文件包括：</w:t>
      </w:r>
      <w:r>
        <w:rPr>
          <w:rFonts w:hint="eastAsia" w:ascii="仿宋" w:hAnsi="仿宋" w:eastAsia="仿宋" w:cs="仿宋"/>
          <w:color w:val="000000"/>
          <w:sz w:val="24"/>
          <w:szCs w:val="24"/>
          <w:highlight w:val="none"/>
          <w:u w:val="single"/>
        </w:rPr>
        <w:t xml:space="preserve">本合同协议书；中标通知书；本合同专用条款；本工程磋商文件、招标澄清及答疑文件、招标过程中双方来往的其他书面文件（含工程量清单及编制说明）；本合同通用条款；国家标准、规范及相关技术资料； 施工图纸；投标文件及附件；工程报价文件或预算书和其他合同文件。</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上述合同组成文件中如有不一致之处，按技术标准高、要求严的条款执行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合同当事人及其他相关方</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1.1.2.4监理人：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1.1.2.5 设计人：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工程和设备</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1.1.3.7 作为施工现场组成部分的其他场所包括：</w:t>
      </w:r>
      <w:r>
        <w:rPr>
          <w:rFonts w:hint="eastAsia" w:ascii="仿宋" w:hAnsi="仿宋" w:eastAsia="仿宋" w:cs="仿宋"/>
          <w:color w:val="000000"/>
          <w:sz w:val="24"/>
          <w:szCs w:val="24"/>
          <w:highlight w:val="none"/>
          <w:u w:val="single"/>
        </w:rPr>
        <w:t xml:space="preserve">承包人自行踏勘考虑住宿场地及材料堆放场地，其他符合通用条款规定的发包方提供的施工场地。</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1.1.3.9 永久占地包括：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1.1.3.10 临时占地包括：</w:t>
      </w:r>
      <w:r>
        <w:rPr>
          <w:rFonts w:hint="eastAsia" w:ascii="仿宋" w:hAnsi="仿宋" w:eastAsia="仿宋" w:cs="仿宋"/>
          <w:color w:val="000000"/>
          <w:sz w:val="24"/>
          <w:szCs w:val="24"/>
          <w:highlight w:val="none"/>
          <w:u w:val="single"/>
        </w:rPr>
        <w:t xml:space="preserve">双方在合同履行过程中确定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1.3法律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适用于合同的其他规范性文件：</w:t>
      </w:r>
      <w:r>
        <w:rPr>
          <w:rFonts w:hint="eastAsia" w:ascii="仿宋" w:hAnsi="仿宋" w:eastAsia="仿宋" w:cs="仿宋"/>
          <w:color w:val="000000"/>
          <w:sz w:val="24"/>
          <w:szCs w:val="24"/>
          <w:highlight w:val="none"/>
          <w:u w:val="single"/>
        </w:rPr>
        <w:t xml:space="preserve">《中华人民共和国民法典》、《中华人民共和国建筑法》、《中华人民共和国招标投标法》、《建设工程质量管理条例》、《中华人民共和国增值税条例及实施细则》、《中华人民共和国消费税暂行条例及实施细则》、《中华人民共和国营业税暂行条例及实施细则》《江苏省建筑市场管理条例》及建设部、工程所在地颁布的有关法律、法规、条例、规范性文件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标准和规范</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w:t>
      </w:r>
      <w:r>
        <w:rPr>
          <w:rFonts w:hint="eastAsia" w:ascii="仿宋" w:hAnsi="仿宋" w:eastAsia="仿宋" w:cs="仿宋"/>
          <w:color w:val="000000"/>
          <w:sz w:val="24"/>
          <w:szCs w:val="24"/>
          <w:highlight w:val="none"/>
          <w:u w:val="single"/>
        </w:rPr>
        <w:t xml:space="preserve">双方在专用条款内约定适用国家标准、规范的名称，没有国家标准、规范但有行业标准、规范的，约定适用行业标准、规范的名称，没有国家和行业标准、规范的，约定适用工程所在地地方标准、规范的名称。包括但不限于磋商文件中的技术规范，如在本合同生效后相关的标准规范已更新，则以更新的版本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发包人提供国外标准、规范的名称：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发包人提供国外标准、规范的份数：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发包人提供国外标准、规范的名称：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1.4.3发包人对工程的技术标准和功能要求的特殊要求：</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现行国家、行业地方标准和技术规范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 合同文件的优先顺序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00"/>
          <w:sz w:val="24"/>
          <w:szCs w:val="24"/>
          <w:highlight w:val="none"/>
          <w:u w:val="single"/>
        </w:rPr>
        <w:t xml:space="preserve">（1）本合同协议书；（2）中标通知书；（3）明确双方权利、义务的纪要、协议；（4）开工前的图纸会审纪要（省及南京市新规定）；（5）本合同专用条款；（6）施工图纸；（7）磋商文件（含工程量清单、答疑文件）；（8）投标书文件及其相关澄清、承诺说明；（9）本合同通用条款；（10）标准、规范及有关技术文件、技术要求；在工程实施过程中，双方有关工程的洽商、变更等书面协议或文件视为本合同的组成部分。上述文件应认为是互为补充和解释的，但如有歧义或互相矛盾之处，以上面所列顺序在前的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 图纸和承包人文件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图纸的提供</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发包人向承包人提供图纸的期限：</w:t>
      </w:r>
      <w:r>
        <w:rPr>
          <w:rFonts w:hint="eastAsia" w:ascii="仿宋" w:hAnsi="仿宋" w:eastAsia="仿宋" w:cs="仿宋"/>
          <w:color w:val="000000"/>
          <w:sz w:val="24"/>
          <w:szCs w:val="24"/>
          <w:highlight w:val="none"/>
          <w:u w:val="single"/>
        </w:rPr>
        <w:t xml:space="preserve">签定合同后七个工作日内，承包人书面申请，发包人提供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发包人向承包人提供图纸的数量：</w:t>
      </w:r>
      <w:r>
        <w:rPr>
          <w:rFonts w:hint="eastAsia" w:ascii="仿宋" w:hAnsi="仿宋" w:eastAsia="仿宋" w:cs="仿宋"/>
          <w:color w:val="000000"/>
          <w:sz w:val="24"/>
          <w:szCs w:val="24"/>
          <w:highlight w:val="none"/>
          <w:u w:val="single"/>
        </w:rPr>
        <w:t xml:space="preserve">四套，承包方若需要增加图纸套数的，发包方可代为复制，复制费用由承包方承担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发包人向承包人提供图纸的内容：</w:t>
      </w:r>
      <w:r>
        <w:rPr>
          <w:rFonts w:hint="eastAsia" w:ascii="仿宋" w:hAnsi="仿宋" w:eastAsia="仿宋" w:cs="仿宋"/>
          <w:color w:val="000000"/>
          <w:sz w:val="24"/>
          <w:szCs w:val="24"/>
          <w:highlight w:val="none"/>
          <w:u w:val="single"/>
        </w:rPr>
        <w:t xml:space="preserve">本工程施工图纸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承包人文件</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需要由承包人提供的文件，包括：</w:t>
      </w:r>
      <w:r>
        <w:rPr>
          <w:rFonts w:hint="eastAsia" w:ascii="仿宋" w:hAnsi="仿宋" w:eastAsia="仿宋" w:cs="仿宋"/>
          <w:color w:val="000000"/>
          <w:sz w:val="24"/>
          <w:szCs w:val="24"/>
          <w:highlight w:val="none"/>
          <w:u w:val="single"/>
        </w:rPr>
        <w:t xml:space="preserve">按发包人要求进场后五日内提供施工组织设计、材料使用计划、施工进度计划和项目部组成人员名单等及其他发包人所需材料。</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承包人提供的文件的期限为：</w:t>
      </w:r>
      <w:r>
        <w:rPr>
          <w:rFonts w:hint="eastAsia" w:ascii="仿宋" w:hAnsi="仿宋" w:eastAsia="仿宋" w:cs="仿宋"/>
          <w:color w:val="000000"/>
          <w:sz w:val="24"/>
          <w:szCs w:val="24"/>
          <w:highlight w:val="none"/>
          <w:u w:val="single"/>
        </w:rPr>
        <w:t xml:space="preserve">按发包人要求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承包人提供的文件的数量为：</w:t>
      </w:r>
      <w:r>
        <w:rPr>
          <w:rFonts w:hint="eastAsia" w:ascii="仿宋" w:hAnsi="仿宋" w:eastAsia="仿宋" w:cs="仿宋"/>
          <w:color w:val="000000"/>
          <w:sz w:val="24"/>
          <w:szCs w:val="24"/>
          <w:highlight w:val="none"/>
          <w:u w:val="single"/>
        </w:rPr>
        <w:t xml:space="preserve">按发包人要求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承包人提供的文件的形式为：</w:t>
      </w:r>
      <w:r>
        <w:rPr>
          <w:rFonts w:hint="eastAsia" w:ascii="仿宋" w:hAnsi="仿宋" w:eastAsia="仿宋" w:cs="仿宋"/>
          <w:color w:val="000000"/>
          <w:sz w:val="24"/>
          <w:szCs w:val="24"/>
          <w:highlight w:val="none"/>
          <w:u w:val="single"/>
        </w:rPr>
        <w:t xml:space="preserve">书面形式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发包人审批承包人文件的期限：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1.6.5 现场图纸准备</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关于现场图纸准备的约定：</w:t>
      </w:r>
      <w:r>
        <w:rPr>
          <w:rFonts w:hint="eastAsia" w:ascii="仿宋" w:hAnsi="仿宋" w:eastAsia="仿宋" w:cs="仿宋"/>
          <w:color w:val="000000"/>
          <w:sz w:val="24"/>
          <w:szCs w:val="24"/>
          <w:highlight w:val="none"/>
          <w:u w:val="single"/>
        </w:rPr>
        <w:t xml:space="preserve">承包人作为一个有资质、有实力、有经验的承包商，承包人应对图纸及其相关材料进行认真审阅，对现场进行详细踏勘，对图纸中的问题以及施工中有可能存在的问题应详尽提出，由发包人给予答复。若图纸会审和设计交底时未提出，施工前也未发现，施工后发现问题的，其返工费用由承包人自行承担，承包人应在施工现场准备一套完整的施工图纸，供会议、检查之用，专人保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 联络</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1.7.1发包人和承包人应当在</w:t>
      </w:r>
      <w:r>
        <w:rPr>
          <w:rFonts w:hint="eastAsia" w:ascii="仿宋" w:hAnsi="仿宋" w:eastAsia="仿宋" w:cs="仿宋"/>
          <w:color w:val="000000"/>
          <w:sz w:val="24"/>
          <w:szCs w:val="24"/>
          <w:highlight w:val="none"/>
          <w:u w:val="single"/>
        </w:rPr>
        <w:t xml:space="preserve">7</w:t>
      </w:r>
      <w:r>
        <w:rPr>
          <w:rFonts w:hint="eastAsia" w:ascii="仿宋" w:hAnsi="仿宋" w:eastAsia="仿宋" w:cs="仿宋"/>
          <w:color w:val="000000"/>
          <w:sz w:val="24"/>
          <w:szCs w:val="24"/>
          <w:highlight w:val="none"/>
        </w:rPr>
        <w:t xml:space="preserve">天内将与合同有关的通知、批准、证明、证书、指示、指令、要求、请求、同意、意见、确定和决定等书面函件送达对方当事人。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发包人接收文件的地点：</w:t>
      </w:r>
      <w:r>
        <w:rPr>
          <w:rFonts w:hint="eastAsia" w:ascii="仿宋" w:hAnsi="仿宋" w:eastAsia="仿宋" w:cs="仿宋"/>
          <w:color w:val="000000"/>
          <w:sz w:val="24"/>
          <w:szCs w:val="24"/>
          <w:highlight w:val="none"/>
          <w:u w:val="single"/>
        </w:rPr>
        <w:t xml:space="preserve">项目所在地发包人项目部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发包人指定的接收人为：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承包人接收文件的地点：</w:t>
      </w:r>
      <w:r>
        <w:rPr>
          <w:rFonts w:hint="eastAsia" w:ascii="仿宋" w:hAnsi="仿宋" w:eastAsia="仿宋" w:cs="仿宋"/>
          <w:color w:val="000000"/>
          <w:sz w:val="24"/>
          <w:szCs w:val="24"/>
          <w:highlight w:val="none"/>
          <w:u w:val="single"/>
        </w:rPr>
        <w:t xml:space="preserve">项目所在地发包人项目部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承包人指定的接收人为：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监理人接收文件的地点：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监理人指定的接收人为：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 交通运输</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Start w:id="190" w:name="_Toc312677986"/>
      <w:r/>
      <w:bookmarkStart w:id="191" w:name="_Toc318581155"/>
      <w:r/>
      <w:bookmarkStart w:id="192" w:name="_Toc300934943"/>
      <w:r/>
      <w:bookmarkStart w:id="193" w:name="_Toc304295521"/>
      <w:r/>
      <w:bookmarkStart w:id="194" w:name="_Toc303539100"/>
      <w:r>
        <w:rPr>
          <w:rFonts w:hint="eastAsia" w:ascii="仿宋" w:hAnsi="仿宋" w:eastAsia="仿宋" w:cs="仿宋"/>
          <w:color w:val="000000"/>
          <w:sz w:val="24"/>
          <w:szCs w:val="24"/>
          <w:highlight w:val="none"/>
        </w:rPr>
        <w:t xml:space="preserve">.10.1 出入现场的权利</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4"/>
          <w:highlight w:val="none"/>
          <w:u w:val="single"/>
        </w:rPr>
        <w:t xml:space="preserve">由承包人按发包人要求负责取得出入施工现场所需的批准手续</w:t>
      </w:r>
      <w:r>
        <w:rPr>
          <w:rFonts w:hint="eastAsia" w:ascii="仿宋" w:hAnsi="仿宋" w:eastAsia="仿宋" w:cs="仿宋"/>
          <w:color w:val="000000"/>
          <w:sz w:val="24"/>
          <w:szCs w:val="24"/>
          <w:highlight w:val="none"/>
        </w:rPr>
        <w:t xml:space="preserve"> 。</w:t>
      </w:r>
      <w:bookmarkEnd w:id="190"/>
      <w:r/>
      <w:bookmarkEnd w:id="191"/>
      <w:r/>
      <w:bookmarkEnd w:id="192"/>
      <w:r/>
      <w:bookmarkEnd w:id="193"/>
      <w:r/>
      <w:bookmarkEnd w:id="194"/>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Start w:id="195" w:name="_Toc312677987"/>
      <w:r/>
      <w:bookmarkStart w:id="196" w:name="_Toc300934944"/>
      <w:r/>
      <w:bookmarkStart w:id="197" w:name="_Toc318581156"/>
      <w:r/>
      <w:bookmarkStart w:id="198" w:name="_Toc304295522"/>
      <w:r/>
      <w:bookmarkStart w:id="199" w:name="_Toc303539101"/>
      <w:r>
        <w:rPr>
          <w:rFonts w:hint="eastAsia" w:ascii="仿宋" w:hAnsi="仿宋" w:eastAsia="仿宋" w:cs="仿宋"/>
          <w:color w:val="000000"/>
          <w:sz w:val="24"/>
          <w:szCs w:val="24"/>
          <w:highlight w:val="none"/>
        </w:rPr>
        <w:t xml:space="preserve">.10.3 场内交通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关于场外交通和场内交通的边界的约定：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195"/>
      <w:r/>
      <w:bookmarkEnd w:id="196"/>
      <w:r/>
      <w:bookmarkEnd w:id="197"/>
      <w:r/>
      <w:bookmarkEnd w:id="198"/>
      <w:r/>
      <w:bookmarkEnd w:id="199"/>
      <w:r>
        <w:rPr>
          <w:rFonts w:hint="eastAsia" w:ascii="仿宋" w:hAnsi="仿宋" w:eastAsia="仿宋" w:cs="仿宋"/>
          <w:color w:val="000000"/>
          <w:sz w:val="24"/>
          <w:szCs w:val="24"/>
          <w:highlight w:val="none"/>
        </w:rPr>
        <w:t xml:space="preserve">  </w:t>
      </w:r>
      <w:bookmarkStart w:id="200" w:name="_Toc318581157"/>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1.10.4超大件和超重件的运输</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rPr>
        <w:t xml:space="preserve">承包人</w:t>
      </w:r>
      <w:r>
        <w:rPr>
          <w:rFonts w:hint="eastAsia" w:ascii="仿宋" w:hAnsi="仿宋" w:eastAsia="仿宋" w:cs="仿宋"/>
          <w:color w:val="000000"/>
          <w:sz w:val="24"/>
          <w:szCs w:val="24"/>
          <w:highlight w:val="none"/>
        </w:rPr>
        <w:t xml:space="preserve">承担。</w:t>
      </w:r>
      <w:bookmarkEnd w:id="200"/>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知识产权</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关于发包人提供的上述文件的使用限制的要求：</w:t>
      </w:r>
      <w:r>
        <w:rPr>
          <w:rFonts w:hint="eastAsia" w:ascii="仿宋" w:hAnsi="仿宋" w:eastAsia="仿宋" w:cs="仿宋"/>
          <w:color w:val="000000"/>
          <w:sz w:val="24"/>
          <w:szCs w:val="24"/>
          <w:highlight w:val="none"/>
          <w:u w:val="single"/>
        </w:rPr>
        <w:t xml:space="preserve">未经发包人同意，承包人不得将施工图纸等材料提供给第三方或移作它用。</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1.11.2 关于承包人为实施工程所编制文件的著作权的归属：</w:t>
      </w:r>
      <w:r>
        <w:rPr>
          <w:rFonts w:hint="eastAsia" w:ascii="仿宋" w:hAnsi="仿宋" w:eastAsia="仿宋" w:cs="仿宋"/>
          <w:color w:val="000000"/>
          <w:sz w:val="24"/>
          <w:szCs w:val="24"/>
          <w:highlight w:val="none"/>
          <w:u w:val="single"/>
        </w:rPr>
        <w:t xml:space="preserve">仅限于此工程项目，此外，除署名权外的著作权，其他知识产权均归发包人享有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关于承包人提供的上述文件的使用限制的要求：</w:t>
      </w:r>
      <w:r>
        <w:rPr>
          <w:rFonts w:hint="eastAsia" w:ascii="仿宋" w:hAnsi="仿宋" w:eastAsia="仿宋" w:cs="仿宋"/>
          <w:color w:val="000000"/>
          <w:sz w:val="24"/>
          <w:szCs w:val="24"/>
          <w:highlight w:val="none"/>
          <w:u w:val="single"/>
        </w:rPr>
        <w:t xml:space="preserve">承包人在合同签订前和签订时已确定采用的专利、专有技术、技术秘密的使用费已包含在签约合同价中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1.11.4 承包人在施工过程中所采用的专利、专有技术、技术秘密的使用费的承担方式：</w:t>
      </w:r>
      <w:r>
        <w:rPr>
          <w:rFonts w:hint="eastAsia" w:ascii="仿宋" w:hAnsi="仿宋" w:eastAsia="仿宋" w:cs="仿宋"/>
          <w:color w:val="000000"/>
          <w:sz w:val="24"/>
          <w:szCs w:val="24"/>
          <w:highlight w:val="none"/>
          <w:u w:val="single"/>
        </w:rPr>
        <w:t xml:space="preserve">承包人自行承担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201" w:name="_Toc351203634"/>
      <w:r>
        <w:rPr>
          <w:rFonts w:hint="eastAsia" w:ascii="仿宋" w:hAnsi="仿宋" w:eastAsia="仿宋" w:cs="仿宋"/>
          <w:color w:val="000000"/>
          <w:sz w:val="24"/>
          <w:szCs w:val="24"/>
          <w:highlight w:val="none"/>
        </w:rPr>
        <w:t xml:space="preserve">2</w:t>
      </w:r>
      <w:bookmarkStart w:id="202" w:name="_Toc296944496"/>
      <w:r/>
      <w:bookmarkStart w:id="203" w:name="_Toc296346658"/>
      <w:r/>
      <w:bookmarkStart w:id="204" w:name="_Toc296347156"/>
      <w:r/>
      <w:bookmarkStart w:id="205" w:name="_Toc297048343"/>
      <w:r/>
      <w:bookmarkStart w:id="206" w:name="_Toc292559362"/>
      <w:r/>
      <w:bookmarkStart w:id="207" w:name="_Toc296503157"/>
      <w:r/>
      <w:bookmarkStart w:id="208" w:name="_Toc296890985"/>
      <w:r/>
      <w:bookmarkStart w:id="209" w:name="_Toc297120457"/>
      <w:r/>
      <w:bookmarkStart w:id="210" w:name="_Toc292559867"/>
      <w:r/>
      <w:bookmarkStart w:id="211" w:name="_Toc296891197"/>
      <w:r>
        <w:rPr>
          <w:rFonts w:hint="eastAsia" w:ascii="仿宋" w:hAnsi="仿宋" w:eastAsia="仿宋" w:cs="仿宋"/>
          <w:color w:val="000000"/>
          <w:sz w:val="24"/>
          <w:szCs w:val="24"/>
          <w:highlight w:val="none"/>
        </w:rPr>
        <w:t xml:space="preserve">. 发包人</w:t>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发包人代表</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发包人代表：姓    名：</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发包人对发包人代表的授权范围如下：</w:t>
      </w:r>
      <w:r>
        <w:rPr>
          <w:rFonts w:hint="eastAsia" w:ascii="仿宋" w:hAnsi="仿宋" w:eastAsia="仿宋" w:cs="仿宋"/>
          <w:color w:val="000000"/>
          <w:sz w:val="24"/>
          <w:szCs w:val="24"/>
          <w:highlight w:val="none"/>
          <w:u w:val="single"/>
        </w:rPr>
        <w:t xml:space="preserve">代表发包人行使权利和履行义务。职权如下：主持施工现场发包人的工作；对施工过程中的合同执行情况进行检查监督。以上职权实施时必须以书面文件发出指令，涉及造价变化、分包单位确定、竣工验收等重要指令，必须加盖发包人公章。任何口述通知不立即生效，承包人应在接获口述通知后3日内向发包人书面（加盖公章）请求确认</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 施工现场、施工条件和基础资料的提供</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 提供施工现场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关于发包人移交施工现场的期限要求：</w:t>
      </w:r>
      <w:r>
        <w:rPr>
          <w:rFonts w:hint="eastAsia" w:ascii="仿宋" w:hAnsi="仿宋" w:eastAsia="仿宋" w:cs="仿宋"/>
          <w:color w:val="000000"/>
          <w:sz w:val="24"/>
          <w:szCs w:val="24"/>
          <w:highlight w:val="none"/>
          <w:u w:val="single"/>
        </w:rPr>
        <w:t xml:space="preserve">开工前提供，施工现场具备开工条件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提供施工条件</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关于发包人应负责提供施工所需要的条件，包括：</w:t>
      </w:r>
      <w:r>
        <w:rPr>
          <w:rFonts w:hint="eastAsia" w:ascii="仿宋" w:hAnsi="仿宋" w:eastAsia="仿宋" w:cs="仿宋"/>
          <w:color w:val="000000"/>
          <w:sz w:val="24"/>
          <w:szCs w:val="24"/>
          <w:highlight w:val="none"/>
          <w:u w:val="singl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响应性报价之情况。中标后，承包人不得因忽视或误解工地情况提出费用或工期索赔。</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 资金来源证明及支付担保</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发包人提供资金来源证明的期限要求：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发包人是否提供支付担保：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发包人提供支付担保的形式：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bookmarkStart w:id="212" w:name="_Toc351203635"/>
      <w:r>
        <w:rPr>
          <w:rFonts w:hint="eastAsia" w:ascii="仿宋" w:hAnsi="仿宋" w:eastAsia="仿宋" w:cs="仿宋"/>
          <w:color w:val="000000"/>
          <w:sz w:val="24"/>
          <w:szCs w:val="24"/>
          <w:highlight w:val="none"/>
        </w:rPr>
        <w:t xml:space="preserve">3</w:t>
      </w:r>
      <w:bookmarkStart w:id="213" w:name="_Toc296347157"/>
      <w:r/>
      <w:bookmarkStart w:id="214" w:name="_Toc296891198"/>
      <w:r/>
      <w:bookmarkStart w:id="215" w:name="_Toc292559868"/>
      <w:r/>
      <w:bookmarkStart w:id="216" w:name="_Toc292559363"/>
      <w:r/>
      <w:bookmarkStart w:id="217" w:name="_Toc297048344"/>
      <w:r/>
      <w:bookmarkStart w:id="218" w:name="_Toc297120458"/>
      <w:r/>
      <w:bookmarkStart w:id="219" w:name="_Toc296346659"/>
      <w:r/>
      <w:bookmarkStart w:id="220" w:name="_Toc296503158"/>
      <w:r/>
      <w:bookmarkStart w:id="221" w:name="_Toc296890986"/>
      <w:r/>
      <w:bookmarkStart w:id="222" w:name="_Toc296944497"/>
      <w:r>
        <w:rPr>
          <w:rFonts w:hint="eastAsia" w:ascii="仿宋" w:hAnsi="仿宋" w:eastAsia="仿宋" w:cs="仿宋"/>
          <w:color w:val="000000"/>
          <w:sz w:val="24"/>
          <w:szCs w:val="24"/>
          <w:highlight w:val="none"/>
        </w:rPr>
        <w:t xml:space="preserve">. 承包人</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承包人的一般义务</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（5）承包人提交的竣工资料的内容：</w:t>
      </w:r>
      <w:r>
        <w:rPr>
          <w:rFonts w:hint="eastAsia" w:ascii="仿宋" w:hAnsi="仿宋" w:eastAsia="仿宋" w:cs="仿宋"/>
          <w:color w:val="000000"/>
          <w:sz w:val="24"/>
          <w:szCs w:val="24"/>
          <w:highlight w:val="none"/>
          <w:u w:val="single"/>
        </w:rPr>
        <w:t xml:space="preserve">按照国家法律规定和当地建设工程档案管理要求编制竣工资料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按发包人的要求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由承包人自行承担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按发包人的要求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书面形式另附电子光盘（含全部竣工资料内容扫描件）。内容必须真实、准确，与工程实际符合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（6）承包人应履行的其他义务：</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2、承包人具体管理范围，包</w:t>
      </w:r>
      <w:r>
        <w:rPr>
          <w:rFonts w:hint="eastAsia" w:ascii="仿宋" w:hAnsi="仿宋" w:eastAsia="仿宋" w:cs="仿宋"/>
          <w:color w:val="000000"/>
          <w:sz w:val="24"/>
          <w:szCs w:val="24"/>
          <w:highlight w:val="none"/>
          <w:u w:val="singl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发包人在施工过程中各项合理要求；施工技术、质量以及其他各类资料文件的收集汇编；竣工图的编制及审核；质量验收协调配合工作；编制施工总结及工程使用说明；交付使用后的工程质量回访以及返修保养等。</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3、其他义务届时双方另行约定。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项目负责人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 项目负责人：姓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；建造师执业资格等级：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；建造师注册证书号：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；建造师执业印章号：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；安全生产考核合格证书号：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承包人对项目负责人的授权范围如下：</w:t>
      </w:r>
      <w:r>
        <w:rPr>
          <w:rFonts w:hint="eastAsia" w:ascii="仿宋" w:hAnsi="仿宋" w:eastAsia="仿宋" w:cs="仿宋"/>
          <w:color w:val="000000"/>
          <w:sz w:val="24"/>
          <w:szCs w:val="24"/>
          <w:highlight w:val="none"/>
          <w:u w:val="single"/>
        </w:rPr>
        <w:t xml:space="preserve">本工程项目负责人，代表承包人处理执行合同中的一切重大事宜，包括合同的实施、变更调整、核定造价、违约处罚等，对执行合同负主要责任</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关于项目负责人每月在施工现场的时间要求：</w:t>
      </w:r>
      <w:r>
        <w:rPr>
          <w:rFonts w:hint="eastAsia" w:ascii="仿宋" w:hAnsi="仿宋" w:eastAsia="仿宋" w:cs="仿宋"/>
          <w:color w:val="000000"/>
          <w:sz w:val="24"/>
          <w:szCs w:val="24"/>
          <w:highlight w:val="none"/>
          <w:u w:val="single"/>
        </w:rPr>
        <w:t xml:space="preserve">开工之日起到竣工结束，项目经理每周至少5日，每天必须不少于8小时在现场组织施工，离开现场需征得发包人的项目负责人同意。</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承包人未提交劳动合同，以及没有为项目负责人缴纳社会保险证明的违约责任：</w:t>
      </w:r>
      <w:r>
        <w:rPr>
          <w:rFonts w:hint="eastAsia" w:ascii="仿宋" w:hAnsi="仿宋" w:eastAsia="仿宋" w:cs="仿宋"/>
          <w:color w:val="000000"/>
          <w:sz w:val="24"/>
          <w:szCs w:val="24"/>
          <w:highlight w:val="none"/>
          <w:u w:val="single"/>
        </w:rPr>
        <w:t xml:space="preserve">逾期未提交的，发包人将认为此项目经理为不称职的项目经理，有权要求承包人按发包人提供的标准予以更换并要求承包人承担由此造成的一切损失</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项目负责人未经批准，擅自离开施工现场的违约责任：</w:t>
      </w:r>
      <w:r>
        <w:rPr>
          <w:rFonts w:hint="eastAsia" w:ascii="仿宋" w:hAnsi="仿宋" w:eastAsia="仿宋" w:cs="仿宋"/>
          <w:color w:val="000000"/>
          <w:sz w:val="24"/>
          <w:szCs w:val="24"/>
          <w:highlight w:val="none"/>
          <w:u w:val="single"/>
        </w:rPr>
        <w:t xml:space="preserve">承包人投标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500元/天的违约金。</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3.2.3 承包人擅自更换项目负责人的违约责任：</w:t>
      </w:r>
      <w:r>
        <w:rPr>
          <w:rFonts w:hint="eastAsia" w:ascii="仿宋" w:hAnsi="仿宋" w:eastAsia="仿宋" w:cs="仿宋"/>
          <w:color w:val="000000"/>
          <w:sz w:val="24"/>
          <w:szCs w:val="24"/>
          <w:highlight w:val="none"/>
          <w:u w:val="single"/>
        </w:rPr>
        <w:t xml:space="preserve">投标文件中明确的项目经理不得擅自变更，开工时和施工过程中未经发包人许可不得擅自变更。承包人未取得变更备案手续，而允许他人擅代项目经理的，视为项目经理不在场。若有擅自变更，发包人有权解除合同，追回已经支付的款项，承包人向发包人支付违约金为合同价的10%.</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3.2.4 承包人无正当理由拒绝更换项目负责人的违约责任：</w:t>
      </w:r>
      <w:r>
        <w:rPr>
          <w:rFonts w:hint="eastAsia" w:ascii="仿宋" w:hAnsi="仿宋" w:eastAsia="仿宋" w:cs="仿宋"/>
          <w:color w:val="000000"/>
          <w:sz w:val="24"/>
          <w:szCs w:val="24"/>
          <w:highlight w:val="none"/>
          <w:u w:val="single"/>
        </w:rPr>
        <w:t xml:space="preserve">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 承包人人员</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3.3.1 承包人提交项目管理机构及施工现场管理人员安排报告的期限：</w:t>
      </w:r>
      <w:r>
        <w:rPr>
          <w:rFonts w:hint="eastAsia" w:ascii="仿宋" w:hAnsi="仿宋" w:eastAsia="仿宋" w:cs="仿宋"/>
          <w:color w:val="000000"/>
          <w:sz w:val="24"/>
          <w:szCs w:val="24"/>
          <w:highlight w:val="none"/>
          <w:u w:val="single"/>
        </w:rPr>
        <w:t xml:space="preserve">承包人应在接到开工通知后28内，向发包人提交承包人在施工场地的管理机构以及人员安排的报告</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3.3.3 承包人无正当理由拒绝撤换主要施工管理人员的违约责任：</w:t>
      </w:r>
      <w:r>
        <w:rPr>
          <w:rFonts w:hint="eastAsia" w:ascii="仿宋" w:hAnsi="仿宋" w:eastAsia="仿宋" w:cs="仿宋"/>
          <w:color w:val="000000"/>
          <w:sz w:val="24"/>
          <w:szCs w:val="24"/>
          <w:highlight w:val="none"/>
          <w:u w:val="single"/>
        </w:rPr>
        <w:t xml:space="preserve">承包人应对其主要施工管理人员进行有效的管理。发包人要求撤换不能胜任本职工作、行为不端或玩忽职守的承包人主要施工管理人员的，承包人应予以撤换，否则1次罚款500元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3.3.4 承包人主要施工管理人员离开施工现场的批准要求： </w:t>
      </w:r>
      <w:r>
        <w:rPr>
          <w:rFonts w:hint="eastAsia" w:ascii="仿宋" w:hAnsi="仿宋" w:eastAsia="仿宋" w:cs="仿宋"/>
          <w:color w:val="000000"/>
          <w:sz w:val="24"/>
          <w:szCs w:val="24"/>
          <w:highlight w:val="none"/>
          <w:u w:val="singl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3.3.5承包人擅自更换主要施工管理人员的违约责任：</w:t>
      </w:r>
      <w:r>
        <w:rPr>
          <w:rFonts w:hint="eastAsia" w:ascii="仿宋" w:hAnsi="仿宋" w:eastAsia="仿宋" w:cs="仿宋"/>
          <w:color w:val="000000"/>
          <w:sz w:val="24"/>
          <w:szCs w:val="24"/>
          <w:highlight w:val="none"/>
          <w:u w:val="single"/>
        </w:rPr>
        <w:t xml:space="preserve">承包人投标文件所载明技术负责人、专职质检员、施工员、专职安全员等主要施工管理人员不得擅自更换，如擅自更换，发包人每发现1次，罚款1000元；超过5次，视为违约，发包人有权终止合同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承包人主要施工管理人员擅自离开施工现场的违约责任：</w:t>
      </w:r>
      <w:r>
        <w:rPr>
          <w:rFonts w:hint="eastAsia" w:ascii="仿宋" w:hAnsi="仿宋" w:eastAsia="仿宋" w:cs="仿宋"/>
          <w:color w:val="000000"/>
          <w:sz w:val="24"/>
          <w:szCs w:val="24"/>
          <w:highlight w:val="none"/>
          <w:u w:val="single"/>
        </w:rPr>
        <w:t xml:space="preserve">承包人投标文件所载明的主要施工管理人员必须常驻现场，不得擅自离开施工现场，否则发包人每发现1次，罚款500元；超过5次，视为违约，发包人有权终止合同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223" w:name="_Toc297120459"/>
      <w:r/>
      <w:bookmarkStart w:id="224" w:name="_Toc292559869"/>
      <w:r/>
      <w:bookmarkStart w:id="225" w:name="_Toc297048345"/>
      <w:r/>
      <w:bookmarkStart w:id="226" w:name="_Toc296346660"/>
      <w:r/>
      <w:bookmarkStart w:id="227" w:name="_Toc296944498"/>
      <w:r/>
      <w:bookmarkStart w:id="228" w:name="_Toc296503159"/>
      <w:r/>
      <w:bookmarkStart w:id="229" w:name="_Toc297216151"/>
      <w:r/>
      <w:bookmarkStart w:id="230" w:name="_Toc297123492"/>
      <w:r/>
      <w:bookmarkStart w:id="231" w:name="_Toc304295523"/>
      <w:r/>
      <w:bookmarkStart w:id="232" w:name="_Toc303539102"/>
      <w:r/>
      <w:bookmarkStart w:id="233" w:name="_Toc312677988"/>
      <w:r/>
      <w:bookmarkStart w:id="234" w:name="_Toc296890987"/>
      <w:r/>
      <w:bookmarkStart w:id="235" w:name="_Toc296347158"/>
      <w:r/>
      <w:bookmarkStart w:id="236" w:name="_Toc292559364"/>
      <w:r/>
      <w:bookmarkStart w:id="237" w:name="_Toc296891199"/>
      <w:r/>
      <w:bookmarkStart w:id="238" w:name="_Toc300934945"/>
      <w:r>
        <w:rPr>
          <w:rFonts w:hint="eastAsia" w:ascii="仿宋" w:hAnsi="仿宋" w:eastAsia="仿宋" w:cs="仿宋"/>
          <w:color w:val="000000"/>
          <w:sz w:val="24"/>
          <w:szCs w:val="24"/>
          <w:highlight w:val="none"/>
        </w:rPr>
        <w:t xml:space="preserve">.5 分包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239" w:name="_Toc303539103"/>
      <w:r/>
      <w:bookmarkStart w:id="240" w:name="_Toc318581158"/>
      <w:r/>
      <w:bookmarkStart w:id="241" w:name="_Toc296944499"/>
      <w:r/>
      <w:bookmarkStart w:id="242" w:name="_Toc297048346"/>
      <w:r/>
      <w:bookmarkStart w:id="243" w:name="_Toc292559870"/>
      <w:r/>
      <w:bookmarkStart w:id="244" w:name="_Toc296890988"/>
      <w:r/>
      <w:bookmarkStart w:id="245" w:name="_Toc300934946"/>
      <w:r/>
      <w:bookmarkStart w:id="246" w:name="_Toc312677989"/>
      <w:r/>
      <w:bookmarkStart w:id="247" w:name="_Toc297120460"/>
      <w:r/>
      <w:bookmarkStart w:id="248" w:name="_Toc297123493"/>
      <w:r/>
      <w:bookmarkStart w:id="249" w:name="_Toc296503160"/>
      <w:r/>
      <w:bookmarkStart w:id="250" w:name="_Toc296347159"/>
      <w:r/>
      <w:bookmarkStart w:id="251" w:name="_Toc304295524"/>
      <w:r/>
      <w:bookmarkStart w:id="252" w:name="_Toc296346661"/>
      <w:r/>
      <w:bookmarkStart w:id="253" w:name="_Toc292559365"/>
      <w:r/>
      <w:bookmarkStart w:id="254" w:name="_Toc296891200"/>
      <w:r/>
      <w:bookmarkStart w:id="255" w:name="_Toc297216152"/>
      <w:r>
        <w:rPr>
          <w:rFonts w:hint="eastAsia" w:ascii="仿宋" w:hAnsi="仿宋" w:eastAsia="仿宋" w:cs="仿宋"/>
          <w:color w:val="000000"/>
          <w:sz w:val="24"/>
          <w:szCs w:val="24"/>
          <w:highlight w:val="none"/>
        </w:rPr>
        <w:t xml:space="preserve">.5.1 分包的一般约定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禁止分包的工程包括：</w:t>
      </w:r>
      <w:r>
        <w:rPr>
          <w:rFonts w:hint="eastAsia" w:ascii="仿宋" w:hAnsi="仿宋" w:eastAsia="仿宋" w:cs="仿宋"/>
          <w:color w:val="000000"/>
          <w:sz w:val="24"/>
          <w:szCs w:val="24"/>
          <w:highlight w:val="none"/>
          <w:u w:val="single"/>
        </w:rPr>
        <w:t xml:space="preserve">本工程不允许承包人有任何形式的转包和未经允许的分包，否则发包人有权终止合同，一切损失由承包人承担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主体结构、关键性工作的范围：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56" w:name="_Toc297123494"/>
      <w:r/>
      <w:bookmarkEnd w:id="256"/>
      <w:r/>
      <w:bookmarkStart w:id="257" w:name="_Toc296346662"/>
      <w:r/>
      <w:bookmarkEnd w:id="257"/>
      <w:r/>
      <w:bookmarkStart w:id="258" w:name="_Toc296347160"/>
      <w:r/>
      <w:bookmarkEnd w:id="258"/>
      <w:r/>
      <w:bookmarkStart w:id="259" w:name="_Toc296503161"/>
      <w:r/>
      <w:bookmarkEnd w:id="259"/>
      <w:r/>
      <w:bookmarkStart w:id="260" w:name="_Toc300934947"/>
      <w:r/>
      <w:bookmarkEnd w:id="260"/>
      <w:r/>
      <w:bookmarkStart w:id="261" w:name="_Toc297216153"/>
      <w:r/>
      <w:bookmarkEnd w:id="261"/>
      <w:r/>
      <w:bookmarkStart w:id="262" w:name="_Toc296944500"/>
      <w:r/>
      <w:bookmarkEnd w:id="262"/>
      <w:r/>
      <w:bookmarkStart w:id="263" w:name="_Toc297048347"/>
      <w:r/>
      <w:bookmarkEnd w:id="263"/>
      <w:r/>
      <w:bookmarkStart w:id="264" w:name="_Toc296891201"/>
      <w:r/>
      <w:bookmarkEnd w:id="264"/>
      <w:r/>
      <w:bookmarkStart w:id="265" w:name="_Toc297120461"/>
      <w:r/>
      <w:bookmarkEnd w:id="265"/>
      <w:r/>
      <w:bookmarkStart w:id="266" w:name="_Toc304295525"/>
      <w:r/>
      <w:bookmarkEnd w:id="266"/>
      <w:r/>
      <w:bookmarkStart w:id="267" w:name="_Toc296890989"/>
      <w:r/>
      <w:bookmarkEnd w:id="267"/>
      <w:r/>
      <w:bookmarkStart w:id="268" w:name="_Toc303539104"/>
      <w:r/>
      <w:bookmarkEnd w:id="268"/>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269" w:name="_Toc318581159"/>
      <w:r/>
      <w:bookmarkStart w:id="270" w:name="_Toc312677990"/>
      <w:r>
        <w:rPr>
          <w:rFonts w:hint="eastAsia" w:ascii="仿宋" w:hAnsi="仿宋" w:eastAsia="仿宋" w:cs="仿宋"/>
          <w:color w:val="000000"/>
          <w:sz w:val="24"/>
          <w:szCs w:val="24"/>
          <w:highlight w:val="none"/>
        </w:rPr>
        <w:t xml:space="preserve">.5.2分包的确定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允许分包的专业工程包括：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其他关于分包的约定：</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3.5.4 分包合同价款</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关于分包合同价款支付的约定：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269"/>
      <w:r/>
      <w:bookmarkEnd w:id="270"/>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3.6 工程照管与成品、半成品保护</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承包人负责照管工程及工程相关的材料、工程设备的起始时间：</w:t>
      </w:r>
      <w:r>
        <w:rPr>
          <w:rFonts w:hint="eastAsia" w:ascii="仿宋" w:hAnsi="仿宋" w:eastAsia="仿宋" w:cs="仿宋"/>
          <w:color w:val="000000"/>
          <w:sz w:val="24"/>
          <w:szCs w:val="24"/>
          <w:highlight w:val="none"/>
          <w:u w:val="single"/>
        </w:rPr>
        <w:t xml:space="preserve">承包人对其承包的所有工程内容负责成品保护，并不得损坏其它承包人所承担的施工内容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3.7 履约担保</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承包人是否提供履约担保：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承包人提供履约担保的形式、金额及期限的：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271" w:name="_Toc351203636"/>
      <w:r>
        <w:rPr>
          <w:rFonts w:hint="eastAsia" w:ascii="仿宋" w:hAnsi="仿宋" w:eastAsia="仿宋" w:cs="仿宋"/>
          <w:b w:val="0"/>
          <w:color w:val="000000"/>
          <w:sz w:val="24"/>
          <w:szCs w:val="24"/>
          <w:highlight w:val="none"/>
        </w:rPr>
        <w:t xml:space="preserve">4</w:t>
      </w:r>
      <w:bookmarkStart w:id="272" w:name="_Toc296503162"/>
      <w:r/>
      <w:bookmarkStart w:id="273" w:name="_Toc292559871"/>
      <w:r/>
      <w:bookmarkStart w:id="274" w:name="_Toc296891202"/>
      <w:r/>
      <w:bookmarkStart w:id="275" w:name="_Toc297120462"/>
      <w:r/>
      <w:bookmarkStart w:id="276" w:name="_Toc267251413"/>
      <w:r/>
      <w:bookmarkStart w:id="277" w:name="_Toc296890990"/>
      <w:r/>
      <w:bookmarkStart w:id="278" w:name="_Toc292559366"/>
      <w:r/>
      <w:bookmarkStart w:id="279" w:name="_Toc297048348"/>
      <w:r/>
      <w:bookmarkStart w:id="280" w:name="_Toc296346663"/>
      <w:r/>
      <w:bookmarkStart w:id="281" w:name="_Toc296347161"/>
      <w:r/>
      <w:bookmarkStart w:id="282" w:name="_Toc296944501"/>
      <w:r>
        <w:rPr>
          <w:rFonts w:hint="eastAsia" w:ascii="仿宋" w:hAnsi="仿宋" w:eastAsia="仿宋" w:cs="仿宋"/>
          <w:b w:val="0"/>
          <w:color w:val="000000"/>
          <w:sz w:val="24"/>
          <w:szCs w:val="24"/>
          <w:highlight w:val="none"/>
        </w:rPr>
        <w:t xml:space="preserve">. 监</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仿宋" w:hAnsi="仿宋" w:eastAsia="仿宋" w:cs="仿宋"/>
          <w:b w:val="0"/>
          <w:color w:val="000000"/>
          <w:sz w:val="24"/>
          <w:szCs w:val="24"/>
          <w:highlight w:val="none"/>
        </w:rPr>
        <w:t xml:space="preserve">理人</w:t>
      </w:r>
      <w:bookmarkEnd w:id="271"/>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4.1监理人的一般规定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监理人员</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总监理工程师：姓    名：</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监理工程师执业资格证书号：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；关于监理人的其他约定：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商定或确定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283" w:name="_Toc267251418"/>
      <w:r>
        <w:rPr>
          <w:rFonts w:hint="eastAsia" w:ascii="仿宋" w:hAnsi="仿宋" w:eastAsia="仿宋" w:cs="仿宋"/>
          <w:color w:val="000000"/>
          <w:sz w:val="24"/>
          <w:szCs w:val="24"/>
          <w:highlight w:val="none"/>
        </w:rPr>
        <w:t xml:space="preserve">在发包人和承包人不能通过协商达成一致意见时，发包人授权监理人对以下事项进行确定：/</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284" w:name="_Toc351203637"/>
      <w:r>
        <w:rPr>
          <w:rFonts w:hint="eastAsia" w:ascii="仿宋" w:hAnsi="仿宋" w:eastAsia="仿宋" w:cs="仿宋"/>
          <w:b w:val="0"/>
          <w:color w:val="000000"/>
          <w:sz w:val="24"/>
          <w:szCs w:val="24"/>
          <w:highlight w:val="none"/>
        </w:rPr>
        <w:t xml:space="preserve">5</w:t>
      </w:r>
      <w:bookmarkEnd w:id="283"/>
      <w:r/>
      <w:bookmarkStart w:id="285" w:name="_Toc292559367"/>
      <w:r/>
      <w:bookmarkStart w:id="286" w:name="_Toc296347162"/>
      <w:r/>
      <w:bookmarkStart w:id="287" w:name="_Toc292559872"/>
      <w:r/>
      <w:bookmarkStart w:id="288" w:name="_Toc296890991"/>
      <w:r/>
      <w:bookmarkStart w:id="289" w:name="_Toc296891203"/>
      <w:r/>
      <w:bookmarkStart w:id="290" w:name="_Toc296944502"/>
      <w:r/>
      <w:bookmarkStart w:id="291" w:name="_Toc297120463"/>
      <w:r/>
      <w:bookmarkStart w:id="292" w:name="_Toc297048349"/>
      <w:r/>
      <w:bookmarkStart w:id="293" w:name="_Toc296503163"/>
      <w:r/>
      <w:bookmarkStart w:id="294" w:name="_Toc296346664"/>
      <w:r>
        <w:rPr>
          <w:rFonts w:hint="eastAsia" w:ascii="仿宋" w:hAnsi="仿宋" w:eastAsia="仿宋" w:cs="仿宋"/>
          <w:b w:val="0"/>
          <w:color w:val="000000"/>
          <w:sz w:val="24"/>
          <w:szCs w:val="24"/>
          <w:highlight w:val="none"/>
        </w:rPr>
        <w:t xml:space="preserve">. 工程质量</w:t>
      </w:r>
      <w:bookmarkEnd w:id="284"/>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质量要求</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bookmarkStart w:id="295" w:name="_Toc303539106"/>
      <w:r/>
      <w:bookmarkStart w:id="296" w:name="_Toc318581164"/>
      <w:r/>
      <w:bookmarkStart w:id="297" w:name="_Toc312677997"/>
      <w:r/>
      <w:bookmarkStart w:id="298" w:name="_Toc297216155"/>
      <w:r/>
      <w:bookmarkStart w:id="299" w:name="_Toc304295527"/>
      <w:r/>
      <w:bookmarkStart w:id="300" w:name="_Toc297123496"/>
      <w:r/>
      <w:bookmarkStart w:id="301" w:name="_Toc300934949"/>
      <w:r>
        <w:rPr>
          <w:rFonts w:hint="eastAsia" w:ascii="仿宋" w:hAnsi="仿宋" w:eastAsia="仿宋" w:cs="仿宋"/>
          <w:color w:val="000000"/>
          <w:sz w:val="24"/>
          <w:szCs w:val="24"/>
          <w:highlight w:val="none"/>
        </w:rPr>
        <w:t xml:space="preserve">.1.1 特殊质量标准和要求：</w:t>
      </w:r>
      <w:r>
        <w:rPr>
          <w:rFonts w:hint="eastAsia" w:ascii="仿宋" w:hAnsi="仿宋" w:eastAsia="仿宋" w:cs="仿宋"/>
          <w:color w:val="000000"/>
          <w:sz w:val="24"/>
          <w:szCs w:val="24"/>
          <w:highlight w:val="none"/>
          <w:u w:val="single"/>
        </w:rPr>
        <w:t xml:space="preserve">必须符合现行国家有关验收标准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关于工程奖项的约定：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 隐蔽工程检查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5.3.2承包人提前通知发包人隐蔽工程检查的期限的约定：</w:t>
      </w:r>
      <w:r>
        <w:rPr>
          <w:rFonts w:hint="eastAsia" w:ascii="仿宋" w:hAnsi="仿宋" w:eastAsia="仿宋" w:cs="仿宋"/>
          <w:color w:val="000000"/>
          <w:sz w:val="24"/>
          <w:szCs w:val="24"/>
          <w:highlight w:val="none"/>
          <w:u w:val="single"/>
        </w:rPr>
        <w:t xml:space="preserve">隐蔽工程检查前24小时书面通知</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发包人不能按时进行检查时，应提前</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小时提交书面延期要求。</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302" w:name="_Toc351203638"/>
      <w:r>
        <w:rPr>
          <w:rFonts w:hint="eastAsia" w:ascii="仿宋" w:hAnsi="仿宋" w:eastAsia="仿宋" w:cs="仿宋"/>
          <w:b w:val="0"/>
          <w:color w:val="000000"/>
          <w:sz w:val="24"/>
          <w:szCs w:val="24"/>
          <w:highlight w:val="none"/>
        </w:rPr>
        <w:t xml:space="preserve">6. 安全文明施工与环境保护</w:t>
      </w:r>
      <w:bookmarkEnd w:id="302"/>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6.1安全文明施工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6.1.1 项目安全生产的达标目标及相应事项的约定：</w:t>
      </w:r>
      <w:r>
        <w:rPr>
          <w:rFonts w:hint="eastAsia" w:ascii="仿宋" w:hAnsi="仿宋" w:eastAsia="仿宋" w:cs="仿宋"/>
          <w:color w:val="000000"/>
          <w:sz w:val="24"/>
          <w:szCs w:val="24"/>
          <w:highlight w:val="none"/>
          <w:u w:val="single"/>
        </w:rPr>
        <w:t xml:space="preserve">本工程安全生产、文明施工必须符合相关文件规定，对文明工地标准不作要求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6.1.4 关于治安保卫的特别约定：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关于编制施工场地治安管理计划的约定：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6.1.5 文明施工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numPr>
          <w:ilvl w:val="2"/>
          <w:numId w:val="8"/>
        </w:numPr>
        <w:ind w:left="0" w:firstLine="0"/>
        <w:jc w:val="left"/>
        <w:spacing w:line="360" w:lineRule="auto"/>
        <w:widowControl/>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关于安全文明施工费支付比例和支付期限的约定：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295"/>
      <w:r/>
      <w:bookmarkEnd w:id="296"/>
      <w:r/>
      <w:bookmarkEnd w:id="297"/>
      <w:r/>
      <w:bookmarkEnd w:id="298"/>
      <w:r/>
      <w:bookmarkEnd w:id="299"/>
      <w:r/>
      <w:bookmarkEnd w:id="300"/>
      <w:r/>
      <w:bookmarkEnd w:id="301"/>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303" w:name="_Toc351203639"/>
      <w:r>
        <w:rPr>
          <w:rFonts w:hint="eastAsia" w:ascii="仿宋" w:hAnsi="仿宋" w:eastAsia="仿宋" w:cs="仿宋"/>
          <w:b w:val="0"/>
          <w:color w:val="000000"/>
          <w:sz w:val="24"/>
          <w:szCs w:val="24"/>
          <w:highlight w:val="none"/>
        </w:rPr>
        <w:t xml:space="preserve">7. 工期和进度</w:t>
      </w:r>
      <w:bookmarkEnd w:id="303"/>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施工组织设计</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7.1.1 合同当事人约定的施工组织设计应包括的其他内容：</w:t>
      </w:r>
      <w:r>
        <w:rPr>
          <w:rFonts w:hint="eastAsia" w:ascii="仿宋" w:hAnsi="仿宋" w:eastAsia="仿宋" w:cs="仿宋"/>
          <w:color w:val="000000"/>
          <w:sz w:val="24"/>
          <w:szCs w:val="24"/>
          <w:highlight w:val="none"/>
          <w:u w:val="single"/>
        </w:rPr>
        <w:t xml:space="preserve">主要技术经济指标、工程概况、各项资源需求量计划</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7.1.2 施工组织设计的提交和修改</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承包人提交详细施工组织设计的期限的约定：。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发包人在收到详细的施工组织设计后确认或提出修改意见的期限：</w:t>
      </w:r>
      <w:r>
        <w:rPr>
          <w:rFonts w:hint="eastAsia" w:ascii="仿宋" w:hAnsi="仿宋" w:eastAsia="仿宋" w:cs="仿宋"/>
          <w:color w:val="000000"/>
          <w:sz w:val="24"/>
          <w:szCs w:val="24"/>
          <w:highlight w:val="none"/>
          <w:u w:val="single"/>
        </w:rPr>
        <w:t xml:space="preserve">一周内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304" w:name="_Toc300934966"/>
      <w:r/>
      <w:bookmarkStart w:id="305" w:name="_Toc312677479"/>
      <w:r/>
      <w:bookmarkStart w:id="306" w:name="_Toc297123514"/>
      <w:r/>
      <w:bookmarkStart w:id="307" w:name="_Toc303539123"/>
      <w:r/>
      <w:bookmarkStart w:id="308" w:name="_Toc312678005"/>
      <w:r/>
      <w:bookmarkStart w:id="309" w:name="_Toc297216173"/>
      <w:r/>
      <w:bookmarkStart w:id="310" w:name="_Toc304295541"/>
      <w:r>
        <w:rPr>
          <w:rFonts w:hint="eastAsia" w:ascii="仿宋" w:hAnsi="仿宋" w:eastAsia="仿宋" w:cs="仿宋"/>
          <w:color w:val="000000"/>
          <w:sz w:val="24"/>
          <w:szCs w:val="24"/>
          <w:highlight w:val="none"/>
        </w:rPr>
        <w:t xml:space="preserve">.2 施工进度计划</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7.2.2 施工进度计划的修订</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发包人在收到修订的施工进度计划后确认或提出修改意见的期限：</w:t>
      </w:r>
      <w:r>
        <w:rPr>
          <w:rFonts w:hint="eastAsia" w:ascii="仿宋" w:hAnsi="仿宋" w:eastAsia="仿宋" w:cs="仿宋"/>
          <w:color w:val="000000"/>
          <w:sz w:val="24"/>
          <w:szCs w:val="24"/>
          <w:highlight w:val="none"/>
          <w:u w:val="single"/>
        </w:rPr>
        <w:t xml:space="preserve">一周内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开工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7.3.1 开工准备</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关于承包人提交工程开工报审表的期限：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关于发包人应完成的其他开工准备工作及期限：</w:t>
      </w:r>
      <w:r>
        <w:rPr>
          <w:rFonts w:hint="eastAsia" w:ascii="仿宋" w:hAnsi="仿宋" w:eastAsia="仿宋" w:cs="仿宋"/>
          <w:color w:val="000000"/>
          <w:sz w:val="24"/>
          <w:szCs w:val="24"/>
          <w:highlight w:val="none"/>
          <w:u w:val="single"/>
        </w:rPr>
        <w:t xml:space="preserve">一周内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关于承包人应完成的其他开工准备工作及期限：</w:t>
      </w:r>
      <w:r>
        <w:rPr>
          <w:rFonts w:hint="eastAsia" w:ascii="仿宋" w:hAnsi="仿宋" w:eastAsia="仿宋" w:cs="仿宋"/>
          <w:color w:val="000000"/>
          <w:sz w:val="24"/>
          <w:szCs w:val="24"/>
          <w:highlight w:val="none"/>
          <w:u w:val="single"/>
        </w:rPr>
        <w:t xml:space="preserve">一周内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7.3.2开工通知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因发包人原因造成未能在计划开工日期之日起</w:t>
      </w:r>
      <w:r>
        <w:rPr>
          <w:rFonts w:hint="eastAsia" w:ascii="仿宋" w:hAnsi="仿宋" w:eastAsia="仿宋" w:cs="仿宋"/>
          <w:color w:val="000000"/>
          <w:sz w:val="24"/>
          <w:szCs w:val="24"/>
          <w:highlight w:val="none"/>
          <w:u w:val="single"/>
        </w:rPr>
        <w:t xml:space="preserve">90</w:t>
      </w:r>
      <w:r>
        <w:rPr>
          <w:rFonts w:hint="eastAsia" w:ascii="仿宋" w:hAnsi="仿宋" w:eastAsia="仿宋" w:cs="仿宋"/>
          <w:color w:val="000000"/>
          <w:sz w:val="24"/>
          <w:szCs w:val="24"/>
          <w:highlight w:val="none"/>
        </w:rPr>
        <w:t xml:space="preserve">天内发出开工通知的，承包人有权提出价格调整要求，或者解除合同。</w:t>
      </w:r>
      <w:bookmarkEnd w:id="304"/>
      <w:r/>
      <w:bookmarkEnd w:id="305"/>
      <w:r/>
      <w:bookmarkEnd w:id="306"/>
      <w:r/>
      <w:bookmarkEnd w:id="307"/>
      <w:r/>
      <w:bookmarkEnd w:id="308"/>
      <w:r/>
      <w:bookmarkEnd w:id="309"/>
      <w:r/>
      <w:bookmarkEnd w:id="310"/>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测量放线</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7.4.1发包人向承包人提供测量基准点、基准线和水准点及其书面资料的期限：</w:t>
      </w:r>
      <w:r>
        <w:rPr>
          <w:rFonts w:hint="eastAsia" w:ascii="仿宋" w:hAnsi="仿宋" w:eastAsia="仿宋" w:cs="仿宋"/>
          <w:color w:val="000000"/>
          <w:sz w:val="24"/>
          <w:szCs w:val="24"/>
          <w:highlight w:val="none"/>
          <w:u w:val="singl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点费用及由此造成的其他损失均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311" w:name="_Toc312677484"/>
      <w:r/>
      <w:bookmarkStart w:id="312" w:name="_Toc304295546"/>
      <w:r/>
      <w:bookmarkStart w:id="313" w:name="_Toc297216175"/>
      <w:r/>
      <w:bookmarkStart w:id="314" w:name="_Toc300934968"/>
      <w:r/>
      <w:bookmarkStart w:id="315" w:name="_Toc297123516"/>
      <w:r/>
      <w:bookmarkStart w:id="316" w:name="_Toc312678010"/>
      <w:r/>
      <w:bookmarkStart w:id="317" w:name="_Toc303539125"/>
      <w:r>
        <w:rPr>
          <w:rFonts w:hint="eastAsia" w:ascii="仿宋" w:hAnsi="仿宋" w:eastAsia="仿宋" w:cs="仿宋"/>
          <w:color w:val="000000"/>
          <w:sz w:val="24"/>
          <w:szCs w:val="24"/>
          <w:highlight w:val="none"/>
        </w:rPr>
        <w:t xml:space="preserve">.5 工期延误</w:t>
      </w:r>
      <w:bookmarkEnd w:id="311"/>
      <w:r/>
      <w:bookmarkEnd w:id="312"/>
      <w:r/>
      <w:bookmarkEnd w:id="313"/>
      <w:r/>
      <w:bookmarkEnd w:id="314"/>
      <w:r/>
      <w:bookmarkEnd w:id="315"/>
      <w:r/>
      <w:bookmarkEnd w:id="316"/>
      <w:r/>
      <w:bookmarkEnd w:id="317"/>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7.5.1 因发包人原因导致工期延误</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（7）因发包人原因导致工期延误的其他情形：</w:t>
      </w:r>
      <w:r>
        <w:rPr>
          <w:rFonts w:hint="eastAsia" w:ascii="仿宋" w:hAnsi="仿宋" w:eastAsia="仿宋" w:cs="仿宋"/>
          <w:color w:val="000000"/>
          <w:sz w:val="24"/>
          <w:szCs w:val="24"/>
          <w:highlight w:val="none"/>
          <w:u w:val="singl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其它责任。</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318" w:name="_Toc312677486"/>
      <w:r/>
      <w:bookmarkStart w:id="319" w:name="_Toc312678012"/>
      <w:r/>
      <w:bookmarkStart w:id="320" w:name="_Toc303539127"/>
      <w:r/>
      <w:bookmarkStart w:id="321" w:name="_Toc304295548"/>
      <w:r/>
      <w:bookmarkStart w:id="322" w:name="_Toc297216177"/>
      <w:r/>
      <w:bookmarkStart w:id="323" w:name="_Toc300934970"/>
      <w:r/>
      <w:bookmarkStart w:id="324" w:name="_Toc297123518"/>
      <w:r/>
      <w:bookmarkStart w:id="325" w:name="_Toc318581169"/>
      <w:r>
        <w:rPr>
          <w:rFonts w:hint="eastAsia" w:ascii="仿宋" w:hAnsi="仿宋" w:eastAsia="仿宋" w:cs="仿宋"/>
          <w:color w:val="000000"/>
          <w:sz w:val="24"/>
          <w:szCs w:val="24"/>
          <w:highlight w:val="none"/>
        </w:rPr>
        <w:t xml:space="preserve">.5.2 因承包人原因导致工期延误</w:t>
      </w:r>
      <w:bookmarkEnd w:id="318"/>
      <w:r/>
      <w:bookmarkEnd w:id="319"/>
      <w:r/>
      <w:bookmarkEnd w:id="325"/>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因</w:t>
      </w:r>
      <w:bookmarkStart w:id="326" w:name="_Toc318581170"/>
      <w:r/>
      <w:bookmarkStart w:id="327" w:name="_Toc312678013"/>
      <w:r/>
      <w:bookmarkStart w:id="328" w:name="_Toc312677487"/>
      <w:r>
        <w:rPr>
          <w:rFonts w:hint="eastAsia" w:ascii="仿宋" w:hAnsi="仿宋" w:eastAsia="仿宋" w:cs="仿宋"/>
          <w:color w:val="000000"/>
          <w:sz w:val="24"/>
          <w:szCs w:val="24"/>
          <w:highlight w:val="none"/>
        </w:rPr>
        <w:t xml:space="preserve">承包人原因造成工期延误，逾期竣工违约金的计算方法为：</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凡由于承包人造成的工期延误（不可抗力除外），工期不能顺延，不得增加任何费用</w:t>
      </w:r>
      <w:r>
        <w:rPr>
          <w:rFonts w:hint="eastAsia" w:ascii="仿宋" w:hAnsi="仿宋" w:eastAsia="仿宋" w:cs="仿宋"/>
          <w:color w:val="000000"/>
          <w:sz w:val="24"/>
          <w:szCs w:val="24"/>
          <w:highlight w:val="none"/>
        </w:rPr>
        <w:t xml:space="preserve">。</w:t>
      </w:r>
      <w:bookmarkEnd w:id="320"/>
      <w:r/>
      <w:bookmarkEnd w:id="321"/>
      <w:r/>
      <w:bookmarkEnd w:id="322"/>
      <w:r/>
      <w:bookmarkEnd w:id="323"/>
      <w:r/>
      <w:bookmarkEnd w:id="324"/>
      <w:r/>
      <w:bookmarkEnd w:id="326"/>
      <w:r/>
      <w:bookmarkEnd w:id="327"/>
      <w:r/>
      <w:bookmarkEnd w:id="328"/>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因承包人原因造成工期延误，逾</w:t>
      </w:r>
      <w:bookmarkStart w:id="329" w:name="_Toc318581171"/>
      <w:r/>
      <w:bookmarkStart w:id="330" w:name="_Toc312678014"/>
      <w:r>
        <w:rPr>
          <w:rFonts w:hint="eastAsia" w:ascii="仿宋" w:hAnsi="仿宋" w:eastAsia="仿宋" w:cs="仿宋"/>
          <w:color w:val="000000"/>
          <w:sz w:val="24"/>
          <w:szCs w:val="24"/>
          <w:highlight w:val="none"/>
        </w:rPr>
        <w:t xml:space="preserve">期竣工违约金的上限：</w:t>
      </w:r>
      <w:r>
        <w:rPr>
          <w:rFonts w:hint="eastAsia" w:ascii="仿宋" w:hAnsi="仿宋" w:eastAsia="仿宋" w:cs="仿宋"/>
          <w:color w:val="000000"/>
          <w:sz w:val="24"/>
          <w:szCs w:val="24"/>
          <w:highlight w:val="none"/>
          <w:u w:val="single"/>
        </w:rPr>
        <w:t xml:space="preserve">合同总价的5%</w:t>
      </w:r>
      <w:r>
        <w:rPr>
          <w:rFonts w:hint="eastAsia" w:ascii="仿宋" w:hAnsi="仿宋" w:eastAsia="仿宋" w:cs="仿宋"/>
          <w:color w:val="000000"/>
          <w:sz w:val="24"/>
          <w:szCs w:val="24"/>
          <w:highlight w:val="none"/>
        </w:rPr>
        <w:t xml:space="preserve">。</w:t>
      </w:r>
      <w:bookmarkEnd w:id="329"/>
      <w:r/>
      <w:bookmarkEnd w:id="330"/>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331" w:name="_Toc312678015"/>
      <w:r/>
      <w:bookmarkStart w:id="332" w:name="_Toc297123519"/>
      <w:r/>
      <w:bookmarkStart w:id="333" w:name="_Toc304295549"/>
      <w:r/>
      <w:bookmarkStart w:id="334" w:name="_Toc300934971"/>
      <w:r/>
      <w:bookmarkStart w:id="335" w:name="_Toc297216178"/>
      <w:r/>
      <w:bookmarkStart w:id="336" w:name="_Toc303539128"/>
      <w:r>
        <w:rPr>
          <w:rFonts w:hint="eastAsia" w:ascii="仿宋" w:hAnsi="仿宋" w:eastAsia="仿宋" w:cs="仿宋"/>
          <w:color w:val="000000"/>
          <w:sz w:val="24"/>
          <w:szCs w:val="24"/>
          <w:highlight w:val="none"/>
        </w:rPr>
        <w:t xml:space="preserve">.6 不</w:t>
      </w:r>
      <w:bookmarkEnd w:id="331"/>
      <w:r/>
      <w:bookmarkEnd w:id="332"/>
      <w:r/>
      <w:bookmarkEnd w:id="333"/>
      <w:r/>
      <w:bookmarkEnd w:id="334"/>
      <w:r/>
      <w:bookmarkEnd w:id="335"/>
      <w:r/>
      <w:bookmarkEnd w:id="336"/>
      <w:r>
        <w:rPr>
          <w:rFonts w:hint="eastAsia" w:ascii="仿宋" w:hAnsi="仿宋" w:eastAsia="仿宋" w:cs="仿宋"/>
          <w:color w:val="000000"/>
          <w:sz w:val="24"/>
          <w:szCs w:val="24"/>
          <w:highlight w:val="none"/>
        </w:rPr>
        <w:t xml:space="preserve">利物质条件</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337" w:name="_Toc312678016"/>
      <w:r/>
      <w:bookmarkStart w:id="338" w:name="_Toc303539129"/>
      <w:r/>
      <w:bookmarkStart w:id="339" w:name="_Toc297216179"/>
      <w:r/>
      <w:bookmarkStart w:id="340" w:name="_Toc297123520"/>
      <w:r/>
      <w:bookmarkStart w:id="341" w:name="_Toc300934972"/>
      <w:r/>
      <w:bookmarkStart w:id="342" w:name="_Toc318581172"/>
      <w:r/>
      <w:bookmarkStart w:id="343" w:name="_Toc304295550"/>
      <w:r>
        <w:rPr>
          <w:rFonts w:hint="eastAsia" w:ascii="仿宋" w:hAnsi="仿宋" w:eastAsia="仿宋" w:cs="仿宋"/>
          <w:color w:val="000000"/>
          <w:sz w:val="24"/>
          <w:szCs w:val="24"/>
          <w:highlight w:val="none"/>
        </w:rPr>
        <w:t xml:space="preserve">不利物质条件的其他情形和有关约定：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bookmarkEnd w:id="337"/>
      <w:r/>
      <w:bookmarkEnd w:id="338"/>
      <w:r/>
      <w:bookmarkEnd w:id="339"/>
      <w:r/>
      <w:bookmarkEnd w:id="340"/>
      <w:r/>
      <w:bookmarkEnd w:id="341"/>
      <w:r/>
      <w:bookmarkEnd w:id="342"/>
      <w:r/>
      <w:bookmarkEnd w:id="343"/>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344" w:name="_Toc297123521"/>
      <w:r/>
      <w:bookmarkStart w:id="345" w:name="_Toc300934973"/>
      <w:r/>
      <w:bookmarkStart w:id="346" w:name="_Toc297216180"/>
      <w:r/>
      <w:bookmarkStart w:id="347" w:name="_Toc312678017"/>
      <w:r/>
      <w:bookmarkStart w:id="348" w:name="_Toc304295551"/>
      <w:r/>
      <w:bookmarkStart w:id="349" w:name="_Toc303539130"/>
      <w:r>
        <w:rPr>
          <w:rFonts w:hint="eastAsia" w:ascii="仿宋" w:hAnsi="仿宋" w:eastAsia="仿宋" w:cs="仿宋"/>
          <w:color w:val="000000"/>
          <w:sz w:val="24"/>
          <w:szCs w:val="24"/>
          <w:highlight w:val="none"/>
        </w:rPr>
        <w:t xml:space="preserve">.7异常恶劣的气候条件</w:t>
      </w:r>
      <w:bookmarkEnd w:id="344"/>
      <w:r/>
      <w:bookmarkEnd w:id="345"/>
      <w:r/>
      <w:bookmarkEnd w:id="346"/>
      <w:r/>
      <w:bookmarkEnd w:id="347"/>
      <w:r/>
      <w:bookmarkEnd w:id="348"/>
      <w:r/>
      <w:bookmarkEnd w:id="349"/>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发包人和承包人同意以下情形视为异常恶劣的气候条件：</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7.9 提前竣工的奖励</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7.9.2提前竣工的奖励：</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350" w:name="_Toc351203640"/>
      <w:r>
        <w:rPr>
          <w:rFonts w:hint="eastAsia" w:ascii="仿宋" w:hAnsi="仿宋" w:eastAsia="仿宋" w:cs="仿宋"/>
          <w:b w:val="0"/>
          <w:color w:val="000000"/>
          <w:sz w:val="24"/>
          <w:szCs w:val="24"/>
          <w:highlight w:val="none"/>
        </w:rPr>
        <w:t xml:space="preserve">8. 材料与设备</w:t>
      </w:r>
      <w:bookmarkEnd w:id="285"/>
      <w:r/>
      <w:bookmarkEnd w:id="286"/>
      <w:r/>
      <w:bookmarkEnd w:id="287"/>
      <w:r/>
      <w:bookmarkEnd w:id="288"/>
      <w:r/>
      <w:bookmarkEnd w:id="289"/>
      <w:r/>
      <w:bookmarkEnd w:id="290"/>
      <w:r/>
      <w:bookmarkEnd w:id="291"/>
      <w:r/>
      <w:bookmarkEnd w:id="292"/>
      <w:r/>
      <w:bookmarkEnd w:id="293"/>
      <w:r/>
      <w:bookmarkEnd w:id="294"/>
      <w:r/>
      <w:bookmarkEnd w:id="350"/>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bookmarkStart w:id="351" w:name="_Toc296503167"/>
      <w:r/>
      <w:bookmarkStart w:id="352" w:name="_Toc312677493"/>
      <w:r/>
      <w:bookmarkStart w:id="353" w:name="_Toc296347166"/>
      <w:r/>
      <w:bookmarkStart w:id="354" w:name="_Toc296944506"/>
      <w:r/>
      <w:bookmarkStart w:id="355" w:name="_Toc297120467"/>
      <w:r/>
      <w:bookmarkStart w:id="356" w:name="_Toc292559372"/>
      <w:r/>
      <w:bookmarkStart w:id="357" w:name="_Toc297123527"/>
      <w:r/>
      <w:bookmarkStart w:id="358" w:name="_Toc303539136"/>
      <w:r/>
      <w:bookmarkStart w:id="359" w:name="_Toc312678019"/>
      <w:r/>
      <w:bookmarkStart w:id="360" w:name="_Toc296346668"/>
      <w:r/>
      <w:bookmarkStart w:id="361" w:name="_Toc304295556"/>
      <w:r/>
      <w:bookmarkStart w:id="362" w:name="_Toc280868654"/>
      <w:r/>
      <w:bookmarkStart w:id="363" w:name="_Toc296891207"/>
      <w:r/>
      <w:bookmarkStart w:id="364" w:name="_Toc292559877"/>
      <w:r/>
      <w:bookmarkStart w:id="365" w:name="_Toc280868656"/>
      <w:r/>
      <w:bookmarkStart w:id="366" w:name="_Toc280868655"/>
      <w:r/>
      <w:bookmarkStart w:id="367" w:name="_Toc267251424"/>
      <w:r/>
      <w:bookmarkStart w:id="368" w:name="_Toc300934979"/>
      <w:r/>
      <w:bookmarkStart w:id="369" w:name="_Toc296890995"/>
      <w:r/>
      <w:bookmarkStart w:id="370" w:name="_Toc297216186"/>
      <w:r/>
      <w:bookmarkStart w:id="371" w:name="_Toc297048353"/>
      <w:r>
        <w:rPr>
          <w:rFonts w:hint="eastAsia" w:ascii="仿宋" w:hAnsi="仿宋" w:eastAsia="仿宋" w:cs="仿宋"/>
          <w:color w:val="000000"/>
          <w:sz w:val="24"/>
          <w:szCs w:val="24"/>
          <w:highlight w:val="none"/>
        </w:rPr>
        <w:t xml:space="preserve">.4材料与工程设备的保管与使用</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8"/>
      <w:r/>
      <w:bookmarkEnd w:id="369"/>
      <w:r/>
      <w:bookmarkEnd w:id="370"/>
      <w:r/>
      <w:bookmarkEnd w:id="371"/>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bookmarkStart w:id="372" w:name="_Toc297048354"/>
      <w:r/>
      <w:bookmarkStart w:id="373" w:name="_Toc297123528"/>
      <w:r/>
      <w:bookmarkStart w:id="374" w:name="_Toc312677494"/>
      <w:r/>
      <w:bookmarkStart w:id="375" w:name="_Toc312678020"/>
      <w:r/>
      <w:bookmarkStart w:id="376" w:name="_Toc296503168"/>
      <w:r/>
      <w:bookmarkStart w:id="377" w:name="_Toc297120468"/>
      <w:r/>
      <w:bookmarkStart w:id="378" w:name="_Toc292559878"/>
      <w:r/>
      <w:bookmarkStart w:id="379" w:name="_Toc292559373"/>
      <w:r/>
      <w:bookmarkStart w:id="380" w:name="_Toc300934980"/>
      <w:r/>
      <w:bookmarkStart w:id="381" w:name="_Toc296944507"/>
      <w:r/>
      <w:bookmarkStart w:id="382" w:name="_Toc297216187"/>
      <w:r/>
      <w:bookmarkStart w:id="383" w:name="_Toc296347167"/>
      <w:r/>
      <w:bookmarkStart w:id="384" w:name="_Toc296890996"/>
      <w:r/>
      <w:bookmarkStart w:id="385" w:name="_Toc304295557"/>
      <w:r/>
      <w:bookmarkStart w:id="386" w:name="_Toc296346669"/>
      <w:r/>
      <w:bookmarkStart w:id="387" w:name="_Toc296891208"/>
      <w:r/>
      <w:bookmarkStart w:id="388" w:name="_Toc303539137"/>
      <w:r/>
      <w:bookmarkStart w:id="389" w:name="_Toc318581173"/>
      <w:r>
        <w:rPr>
          <w:rFonts w:hint="eastAsia" w:ascii="仿宋" w:hAnsi="仿宋" w:eastAsia="仿宋" w:cs="仿宋"/>
          <w:color w:val="000000"/>
          <w:sz w:val="24"/>
          <w:szCs w:val="24"/>
          <w:highlight w:val="none"/>
        </w:rPr>
        <w:t xml:space="preserve">.4.1发包人供应的材料设备的保管费用的承担：</w:t>
      </w:r>
      <w:r>
        <w:rPr>
          <w:rFonts w:hint="eastAsia" w:ascii="仿宋" w:hAnsi="仿宋" w:eastAsia="仿宋" w:cs="仿宋"/>
          <w:color w:val="000000"/>
          <w:sz w:val="24"/>
          <w:szCs w:val="24"/>
          <w:highlight w:val="none"/>
          <w:u w:val="single"/>
        </w:rPr>
        <w:t xml:space="preserve">发包人供应的材料设备，承包人派人参加清点后由承包人妥善保管，保管费用包含在本次响应性报价中，供应商自行考虑。因承包人原因发生丢失损坏，由承包人负责赔偿</w:t>
      </w:r>
      <w:r>
        <w:rPr>
          <w:rFonts w:hint="eastAsia" w:ascii="仿宋" w:hAnsi="仿宋" w:eastAsia="仿宋" w:cs="仿宋"/>
          <w:color w:val="000000"/>
          <w:sz w:val="24"/>
          <w:szCs w:val="24"/>
          <w:highlight w:val="none"/>
        </w:rPr>
        <w:t xml:space="preserve">。</w:t>
      </w:r>
      <w:bookmarkEnd w:id="378"/>
      <w:r/>
      <w:bookmarkEnd w:id="379"/>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8.4.2 承包人采购材料与工程设备:</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由承包人采购的材料设备的质量、功能、参数、指标、性能等要素均须符合图纸设计要求和国家现行的产品质量标准的规定，须为原厂正牌优质产品，承包人须在材料设备进场前向发包人提供质量保证书原件和出厂合格证原件，若为进口产品还需要提供海关或商检部门出具的原产地证明。严禁使用不合格和过期材料，否则由此产生的一切责任由承包人自负。承包人应该对各种材料设备按规范、规定进行检查、检验，不得将不符合要求的材料设备用于工程；无论发包人是否进行并通过了各项检验，均不解除承包人应负的所有工程质量责任；</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2、承包人采购的材料设备应在市场主流品牌或厂家中选择、询价、经发包人同意后，方可使用；</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发包人有权要求承包人更换不合格的产品，并由承包人承担由此引起的诸如质量、安全、工期、价格上涨和索赔等一切后果。发包人如对承包人采购的材料设备质量有疑问时，有权对进场材料设备进行质量复检。复检不合格承包人承担相应的检测费用，同时将复检不合格的材料设备立即清退出现场；</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4、本工程所用材料必须满足设计图纸和规范的要求且是同类材料中优质环保的产品；</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5、其他未尽事宜届时由双方协商。</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8.6 样品</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8.6.1</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样品的报送与封存</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需要承包人报送样品的材料或工程设备，样品的种类、名称、规格、数量要求：</w:t>
      </w:r>
      <w:r>
        <w:rPr>
          <w:rFonts w:hint="eastAsia" w:ascii="仿宋" w:hAnsi="仿宋" w:eastAsia="仿宋" w:cs="仿宋"/>
          <w:color w:val="000000"/>
          <w:sz w:val="24"/>
          <w:szCs w:val="24"/>
          <w:highlight w:val="none"/>
          <w:u w:val="single"/>
        </w:rPr>
        <w:t xml:space="preserve">用于本工程之任何材料的品质，在使用前十天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如承包人提供的材料样品未达到清单、图纸、磋商文件及发包人要求的，承包人不得强行施工，否则该项已施工的工程量发包人有权不予以确认，费用在结算时扣除，延误的工期不予顺延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8.8 施工设备和临时设施</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8.8.1 承包人提供的施工设备和临时设施</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临时设施由承包人负责，费用含在合同总价中，结算时不作任何调整</w:t>
      </w:r>
      <w:r>
        <w:rPr>
          <w:rFonts w:hint="eastAsia" w:ascii="仿宋" w:hAnsi="仿宋" w:eastAsia="仿宋" w:cs="仿宋"/>
          <w:color w:val="000000"/>
          <w:sz w:val="24"/>
          <w:szCs w:val="24"/>
          <w:highlight w:val="none"/>
        </w:rPr>
        <w:t xml:space="preserve">。</w:t>
      </w:r>
      <w:bookmarkEnd w:id="372"/>
      <w:r/>
      <w:bookmarkEnd w:id="373"/>
      <w:r/>
      <w:bookmarkEnd w:id="374"/>
      <w:r/>
      <w:bookmarkEnd w:id="375"/>
      <w:r/>
      <w:bookmarkEnd w:id="376"/>
      <w:r/>
      <w:bookmarkEnd w:id="377"/>
      <w:r/>
      <w:bookmarkEnd w:id="380"/>
      <w:r/>
      <w:bookmarkEnd w:id="381"/>
      <w:r/>
      <w:bookmarkEnd w:id="382"/>
      <w:r/>
      <w:bookmarkEnd w:id="383"/>
      <w:r/>
      <w:bookmarkEnd w:id="384"/>
      <w:r/>
      <w:bookmarkEnd w:id="385"/>
      <w:r/>
      <w:bookmarkEnd w:id="386"/>
      <w:r/>
      <w:bookmarkEnd w:id="387"/>
      <w:r/>
      <w:bookmarkEnd w:id="388"/>
      <w:r/>
      <w:bookmarkEnd w:id="389"/>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390" w:name="_Toc351203641"/>
      <w:r>
        <w:rPr>
          <w:rFonts w:hint="eastAsia" w:ascii="仿宋" w:hAnsi="仿宋" w:eastAsia="仿宋" w:cs="仿宋"/>
          <w:b w:val="0"/>
          <w:color w:val="000000"/>
          <w:sz w:val="24"/>
          <w:szCs w:val="24"/>
          <w:highlight w:val="none"/>
        </w:rPr>
        <w:t xml:space="preserve">9</w:t>
      </w:r>
      <w:bookmarkEnd w:id="365"/>
      <w:r/>
      <w:bookmarkEnd w:id="366"/>
      <w:r/>
      <w:bookmarkEnd w:id="367"/>
      <w:r/>
      <w:bookmarkStart w:id="391" w:name="_Toc267251428"/>
      <w:r/>
      <w:bookmarkStart w:id="392" w:name="_Toc296944512"/>
      <w:r/>
      <w:bookmarkStart w:id="393" w:name="_Toc267251427"/>
      <w:r/>
      <w:bookmarkStart w:id="394" w:name="_Toc297123533"/>
      <w:r/>
      <w:bookmarkStart w:id="395" w:name="_Toc297120473"/>
      <w:r/>
      <w:bookmarkStart w:id="396" w:name="_Toc292559883"/>
      <w:r/>
      <w:bookmarkStart w:id="397" w:name="_Toc296891213"/>
      <w:r/>
      <w:bookmarkStart w:id="398" w:name="_Toc296347172"/>
      <w:r/>
      <w:bookmarkStart w:id="399" w:name="_Toc292559378"/>
      <w:r/>
      <w:bookmarkStart w:id="400" w:name="_Toc312678021"/>
      <w:r/>
      <w:bookmarkStart w:id="401" w:name="_Toc300934982"/>
      <w:r/>
      <w:bookmarkStart w:id="402" w:name="_Toc296503173"/>
      <w:r/>
      <w:bookmarkStart w:id="403" w:name="_Toc312677495"/>
      <w:r/>
      <w:bookmarkStart w:id="404" w:name="_Toc297216192"/>
      <w:r/>
      <w:bookmarkStart w:id="405" w:name="_Toc304295559"/>
      <w:r/>
      <w:bookmarkStart w:id="406" w:name="_Toc296346674"/>
      <w:r/>
      <w:bookmarkStart w:id="407" w:name="_Toc297048359"/>
      <w:r/>
      <w:bookmarkStart w:id="408" w:name="_Toc296891001"/>
      <w:r/>
      <w:bookmarkStart w:id="409" w:name="_Toc303539139"/>
      <w:r>
        <w:rPr>
          <w:rFonts w:hint="eastAsia" w:ascii="仿宋" w:hAnsi="仿宋" w:eastAsia="仿宋" w:cs="仿宋"/>
          <w:b w:val="0"/>
          <w:color w:val="000000"/>
          <w:sz w:val="24"/>
          <w:szCs w:val="24"/>
          <w:highlight w:val="none"/>
        </w:rPr>
        <w:t xml:space="preserve">. 试验与检验</w:t>
      </w:r>
      <w:bookmarkEnd w:id="390"/>
      <w:r/>
      <w:bookmarkEnd w:id="394"/>
      <w:r/>
      <w:bookmarkEnd w:id="400"/>
      <w:r/>
      <w:bookmarkEnd w:id="401"/>
      <w:r/>
      <w:bookmarkEnd w:id="403"/>
      <w:r/>
      <w:bookmarkEnd w:id="404"/>
      <w:r/>
      <w:bookmarkEnd w:id="405"/>
      <w:r/>
      <w:bookmarkEnd w:id="409"/>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bookmarkStart w:id="410" w:name="_Toc297123534"/>
      <w:r/>
      <w:bookmarkStart w:id="411" w:name="_Toc312677496"/>
      <w:r/>
      <w:bookmarkStart w:id="412" w:name="_Toc303539140"/>
      <w:r/>
      <w:bookmarkStart w:id="413" w:name="_Toc304295560"/>
      <w:r/>
      <w:bookmarkStart w:id="414" w:name="_Toc312678022"/>
      <w:r/>
      <w:bookmarkStart w:id="415" w:name="_Toc297216193"/>
      <w:r/>
      <w:bookmarkStart w:id="416" w:name="_Toc300934983"/>
      <w:r>
        <w:rPr>
          <w:rFonts w:hint="eastAsia" w:ascii="仿宋" w:hAnsi="仿宋" w:eastAsia="仿宋" w:cs="仿宋"/>
          <w:color w:val="000000"/>
          <w:sz w:val="24"/>
          <w:szCs w:val="24"/>
          <w:highlight w:val="none"/>
        </w:rPr>
        <w:t xml:space="preserve">.1试验设备与试验人员</w:t>
      </w:r>
      <w:bookmarkEnd w:id="410"/>
      <w:r/>
      <w:bookmarkEnd w:id="411"/>
      <w:r/>
      <w:bookmarkEnd w:id="412"/>
      <w:r/>
      <w:bookmarkEnd w:id="413"/>
      <w:r/>
      <w:bookmarkEnd w:id="414"/>
      <w:r/>
      <w:bookmarkEnd w:id="415"/>
      <w:r/>
      <w:bookmarkEnd w:id="416"/>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bookmarkStart w:id="417" w:name="_Toc318581174"/>
      <w:r/>
      <w:bookmarkStart w:id="418" w:name="_Toc312678023"/>
      <w:r/>
      <w:bookmarkStart w:id="419" w:name="_Toc297123535"/>
      <w:r/>
      <w:bookmarkStart w:id="420" w:name="_Toc297216194"/>
      <w:r/>
      <w:bookmarkStart w:id="421" w:name="_Toc300934984"/>
      <w:r/>
      <w:bookmarkStart w:id="422" w:name="_Toc303539141"/>
      <w:r/>
      <w:bookmarkStart w:id="423" w:name="_Toc304295561"/>
      <w:r/>
      <w:bookmarkStart w:id="424" w:name="_Toc312677497"/>
      <w:r>
        <w:rPr>
          <w:rFonts w:hint="eastAsia" w:ascii="仿宋" w:hAnsi="仿宋" w:eastAsia="仿宋" w:cs="仿宋"/>
          <w:color w:val="000000"/>
          <w:sz w:val="24"/>
          <w:szCs w:val="24"/>
          <w:highlight w:val="none"/>
        </w:rPr>
        <w:t xml:space="preserve">.1.2 试验设备</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施工现场需要配置的试验场所：</w:t>
      </w:r>
      <w:bookmarkEnd w:id="418"/>
      <w:r/>
      <w:bookmarkEnd w:id="419"/>
      <w:r/>
      <w:bookmarkEnd w:id="420"/>
      <w:r/>
      <w:bookmarkEnd w:id="421"/>
      <w:r/>
      <w:bookmarkEnd w:id="422"/>
      <w:r/>
      <w:bookmarkEnd w:id="423"/>
      <w:r/>
      <w:bookmarkEnd w:id="424"/>
      <w:r/>
      <w:bookmarkStart w:id="425" w:name="_Toc312677498"/>
      <w:r/>
      <w:bookmarkStart w:id="426" w:name="_Toc303539142"/>
      <w:r/>
      <w:bookmarkStart w:id="427" w:name="_Toc297216195"/>
      <w:r/>
      <w:bookmarkStart w:id="428" w:name="_Toc297123536"/>
      <w:r/>
      <w:bookmarkStart w:id="429" w:name="_Toc312678024"/>
      <w:r/>
      <w:bookmarkStart w:id="430" w:name="_Toc300934985"/>
      <w:r/>
      <w:bookmarkStart w:id="431" w:name="_Toc304295562"/>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施工现场需要配备的试验设备：</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施工现场需要具备的其他试验条件：</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 现场工艺试验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现场工艺试验的有关约定：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bookmarkEnd w:id="417"/>
      <w:r/>
      <w:bookmarkEnd w:id="425"/>
      <w:r/>
      <w:bookmarkEnd w:id="426"/>
      <w:r/>
      <w:bookmarkEnd w:id="427"/>
      <w:r/>
      <w:bookmarkEnd w:id="428"/>
      <w:r/>
      <w:bookmarkEnd w:id="429"/>
      <w:r/>
      <w:bookmarkEnd w:id="430"/>
      <w:r/>
      <w:bookmarkEnd w:id="431"/>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432" w:name="_Toc351203642"/>
      <w:r>
        <w:rPr>
          <w:rFonts w:hint="eastAsia" w:ascii="仿宋" w:hAnsi="仿宋" w:eastAsia="仿宋" w:cs="仿宋"/>
          <w:b w:val="0"/>
          <w:color w:val="000000"/>
          <w:sz w:val="24"/>
          <w:szCs w:val="24"/>
          <w:highlight w:val="none"/>
        </w:rPr>
        <w:t xml:space="preserve">1</w:t>
      </w:r>
      <w:bookmarkEnd w:id="391"/>
      <w:r/>
      <w:bookmarkEnd w:id="392"/>
      <w:r/>
      <w:bookmarkEnd w:id="393"/>
      <w:r/>
      <w:bookmarkEnd w:id="395"/>
      <w:r/>
      <w:bookmarkEnd w:id="396"/>
      <w:r/>
      <w:bookmarkEnd w:id="397"/>
      <w:r/>
      <w:bookmarkEnd w:id="398"/>
      <w:r/>
      <w:bookmarkEnd w:id="399"/>
      <w:r/>
      <w:bookmarkEnd w:id="402"/>
      <w:r/>
      <w:bookmarkEnd w:id="406"/>
      <w:r/>
      <w:bookmarkEnd w:id="407"/>
      <w:r/>
      <w:bookmarkEnd w:id="408"/>
      <w:r/>
      <w:bookmarkStart w:id="433" w:name="_Toc296346694"/>
      <w:r/>
      <w:bookmarkStart w:id="434" w:name="_Toc292559398"/>
      <w:r/>
      <w:bookmarkStart w:id="435" w:name="_Toc297120493"/>
      <w:r/>
      <w:bookmarkStart w:id="436" w:name="_Toc296347192"/>
      <w:r/>
      <w:bookmarkStart w:id="437" w:name="_Toc296891021"/>
      <w:r/>
      <w:bookmarkStart w:id="438" w:name="_Toc296944532"/>
      <w:r/>
      <w:bookmarkStart w:id="439" w:name="_Toc297216199"/>
      <w:r/>
      <w:bookmarkStart w:id="440" w:name="_Toc312677499"/>
      <w:r/>
      <w:bookmarkStart w:id="441" w:name="_Toc292559903"/>
      <w:r/>
      <w:bookmarkStart w:id="442" w:name="_Toc296503193"/>
      <w:r/>
      <w:bookmarkStart w:id="443" w:name="_Toc297048379"/>
      <w:r/>
      <w:bookmarkStart w:id="444" w:name="_Toc303539146"/>
      <w:r/>
      <w:bookmarkStart w:id="445" w:name="_Toc297123540"/>
      <w:r/>
      <w:bookmarkStart w:id="446" w:name="_Toc304295566"/>
      <w:r/>
      <w:bookmarkStart w:id="447" w:name="_Toc296891233"/>
      <w:r/>
      <w:bookmarkStart w:id="448" w:name="_Toc312678025"/>
      <w:r/>
      <w:bookmarkStart w:id="449" w:name="_Toc300934989"/>
      <w:r/>
      <w:bookmarkStart w:id="450" w:name="_Toc267251437"/>
      <w:r/>
      <w:bookmarkStart w:id="451" w:name="_Toc267251435"/>
      <w:r/>
      <w:bookmarkStart w:id="452" w:name="_Toc267251441"/>
      <w:r/>
      <w:bookmarkStart w:id="453" w:name="_Toc267251440"/>
      <w:r/>
      <w:bookmarkStart w:id="454" w:name="_Toc267251433"/>
      <w:r/>
      <w:bookmarkStart w:id="455" w:name="_Toc267251442"/>
      <w:r/>
      <w:bookmarkStart w:id="456" w:name="_Toc267251439"/>
      <w:r>
        <w:rPr>
          <w:rFonts w:hint="eastAsia" w:ascii="仿宋" w:hAnsi="仿宋" w:eastAsia="仿宋" w:cs="仿宋"/>
          <w:b w:val="0"/>
          <w:color w:val="000000"/>
          <w:sz w:val="24"/>
          <w:szCs w:val="24"/>
          <w:highlight w:val="none"/>
        </w:rPr>
        <w:t xml:space="preserve">0. 变更</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Start w:id="457" w:name="_Toc312677500"/>
      <w:r/>
      <w:bookmarkStart w:id="458" w:name="_Toc296944533"/>
      <w:r/>
      <w:bookmarkStart w:id="459" w:name="_Toc300934990"/>
      <w:r/>
      <w:bookmarkStart w:id="460" w:name="_Toc296347193"/>
      <w:r/>
      <w:bookmarkStart w:id="461" w:name="_Toc292559904"/>
      <w:r/>
      <w:bookmarkStart w:id="462" w:name="_Toc296346695"/>
      <w:r/>
      <w:bookmarkStart w:id="463" w:name="_Toc297216200"/>
      <w:r/>
      <w:bookmarkStart w:id="464" w:name="_Toc304295567"/>
      <w:r/>
      <w:bookmarkStart w:id="465" w:name="_Toc297120494"/>
      <w:r/>
      <w:bookmarkStart w:id="466" w:name="_Toc303539147"/>
      <w:r/>
      <w:bookmarkStart w:id="467" w:name="_Toc296891022"/>
      <w:r/>
      <w:bookmarkStart w:id="468" w:name="_Toc296503194"/>
      <w:r/>
      <w:bookmarkStart w:id="469" w:name="_Toc312678026"/>
      <w:r/>
      <w:bookmarkStart w:id="470" w:name="_Toc297048380"/>
      <w:r/>
      <w:bookmarkStart w:id="471" w:name="_Toc297123541"/>
      <w:r/>
      <w:bookmarkStart w:id="472" w:name="_Toc292559399"/>
      <w:r/>
      <w:bookmarkStart w:id="473" w:name="_Toc296891234"/>
      <w:r>
        <w:rPr>
          <w:rFonts w:hint="eastAsia" w:ascii="仿宋" w:hAnsi="仿宋" w:eastAsia="仿宋" w:cs="仿宋"/>
          <w:color w:val="000000"/>
          <w:sz w:val="24"/>
          <w:szCs w:val="24"/>
          <w:highlight w:val="none"/>
        </w:rPr>
        <w:t xml:space="preserve">0.1变更的范围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关于变更的范围的约定：</w:t>
      </w:r>
      <w:r>
        <w:rPr>
          <w:rFonts w:hint="eastAsia" w:ascii="仿宋" w:hAnsi="仿宋" w:eastAsia="仿宋" w:cs="仿宋"/>
          <w:color w:val="000000"/>
          <w:sz w:val="24"/>
          <w:szCs w:val="24"/>
          <w:highlight w:val="none"/>
          <w:u w:val="single"/>
        </w:rPr>
        <w:t xml:space="preserve">1通用条款中规定的变更范围、工程设计变更、现场签证及发包人另行委托的零星工程施工；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2施工中承包人不得擅自对原工程设计进行变更。因承包人擅自变更图纸设计发生的费用和由此导致发包人的损失，由承包人承担，延误的工期不予顺延；</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承包人在施工中提出的合理化建议涉及到对设计图纸或施工组织设计的更改及对材料、设备的调换，须经发包人批准方可实施。未经批准擅自更改或调换时，承包人承担由此发生的费用，并赔偿业主的有关损失，延误的工期不予顺延；</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4工程变更及现场签证统一使用规定格式的现场签证单，并按照相应规定执行；</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5因工程设计变更引起的工程量增减，且符合价款调整条件的，必须在5日内将工程量和价款变更的申请报告提交发包人代表核准，如出现逾期不报将不接收，视同优惠，任何后补签证的请求将被发包人拒绝；</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7承包人按照发包人的要求办理签证单，手续齐全的签证单原件作为结算依据，复印件无效；</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8所有变更及签证产生的费用均在竣工结算中办理。</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10.4 变更估价</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10.4.1 变更估价原则</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关于变更估价的约定: </w:t>
      </w:r>
      <w:r>
        <w:rPr>
          <w:rFonts w:hint="eastAsia" w:ascii="仿宋" w:hAnsi="仿宋" w:eastAsia="仿宋" w:cs="仿宋"/>
          <w:color w:val="000000"/>
          <w:sz w:val="24"/>
          <w:szCs w:val="24"/>
          <w:highlight w:val="none"/>
          <w:u w:val="single"/>
        </w:rPr>
        <w:t xml:space="preserve">1.承包人在工程变更确定后7天内，提出变更工程价款的报告，经发包人确认后调整合同价款。变更合同价款按下列方法进行：</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(1)合同中已有适用于变更工程的价格，按合同已有的价格变更合同价款；</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(2)合同中只有类似于变更工程的价格，可以参照类似价格变更合同价款；</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(3)合同中没有适用或类似于变更工程的价格，由承包人提出适当的变更价格，经发包人确认后执行。</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 承包人在双方确定变更后7天内不向发包人提出变更程价款报告时，视为该项变更不涉及合同价款的变更。</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3.因承包人自身原因导致的工程变更，承包人无权要求追加合同价款。</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Start w:id="474" w:name="_Toc300934993"/>
      <w:r/>
      <w:bookmarkStart w:id="475" w:name="_Toc292559402"/>
      <w:r/>
      <w:bookmarkStart w:id="476" w:name="_Toc297216203"/>
      <w:r/>
      <w:bookmarkStart w:id="477" w:name="_Toc292559907"/>
      <w:r/>
      <w:bookmarkStart w:id="478" w:name="_Toc304295570"/>
      <w:r/>
      <w:bookmarkStart w:id="479" w:name="_Toc312678029"/>
      <w:r/>
      <w:bookmarkStart w:id="480" w:name="_Toc312677503"/>
      <w:r/>
      <w:bookmarkStart w:id="481" w:name="_Toc297048383"/>
      <w:r/>
      <w:bookmarkStart w:id="482" w:name="_Toc297123544"/>
      <w:r/>
      <w:bookmarkStart w:id="483" w:name="_Toc296347196"/>
      <w:r/>
      <w:bookmarkStart w:id="484" w:name="_Toc296346698"/>
      <w:r/>
      <w:bookmarkStart w:id="485" w:name="_Toc296891237"/>
      <w:r/>
      <w:bookmarkStart w:id="486" w:name="_Toc303539150"/>
      <w:r/>
      <w:bookmarkStart w:id="487" w:name="_Toc297120497"/>
      <w:r/>
      <w:bookmarkStart w:id="488" w:name="_Toc296891025"/>
      <w:r/>
      <w:bookmarkStart w:id="489" w:name="_Toc296503197"/>
      <w:r/>
      <w:bookmarkStart w:id="490" w:name="_Toc296944536"/>
      <w:r>
        <w:rPr>
          <w:rFonts w:hint="eastAsia" w:ascii="仿宋" w:hAnsi="仿宋" w:eastAsia="仿宋" w:cs="仿宋"/>
          <w:color w:val="000000"/>
          <w:sz w:val="24"/>
          <w:szCs w:val="24"/>
          <w:highlight w:val="none"/>
        </w:rPr>
        <w:t xml:space="preserve">0.5承</w:t>
      </w:r>
      <w:bookmarkEnd w:id="474"/>
      <w:r/>
      <w:bookmarkEnd w:id="475"/>
      <w:r/>
      <w:bookmarkEnd w:id="476"/>
      <w:r/>
      <w:bookmarkEnd w:id="477"/>
      <w:r/>
      <w:bookmarkEnd w:id="481"/>
      <w:r/>
      <w:bookmarkEnd w:id="482"/>
      <w:r/>
      <w:bookmarkEnd w:id="483"/>
      <w:r/>
      <w:bookmarkEnd w:id="484"/>
      <w:r/>
      <w:bookmarkEnd w:id="485"/>
      <w:r/>
      <w:bookmarkEnd w:id="486"/>
      <w:r/>
      <w:bookmarkEnd w:id="487"/>
      <w:r/>
      <w:bookmarkEnd w:id="488"/>
      <w:r/>
      <w:bookmarkEnd w:id="489"/>
      <w:r/>
      <w:bookmarkEnd w:id="490"/>
      <w:r/>
      <w:bookmarkStart w:id="491" w:name="_Toc296346704"/>
      <w:r/>
      <w:bookmarkStart w:id="492" w:name="_Toc296891243"/>
      <w:r/>
      <w:bookmarkStart w:id="493" w:name="_Toc296503203"/>
      <w:r/>
      <w:bookmarkStart w:id="494" w:name="_Toc292559408"/>
      <w:r/>
      <w:bookmarkStart w:id="495" w:name="_Toc297120503"/>
      <w:r/>
      <w:bookmarkStart w:id="496" w:name="_Toc296347202"/>
      <w:r/>
      <w:bookmarkStart w:id="497" w:name="_Toc297216204"/>
      <w:r/>
      <w:bookmarkStart w:id="498" w:name="_Toc297123545"/>
      <w:r/>
      <w:bookmarkStart w:id="499" w:name="_Toc297048389"/>
      <w:r/>
      <w:bookmarkStart w:id="500" w:name="_Toc300934994"/>
      <w:r/>
      <w:bookmarkStart w:id="501" w:name="_Toc303539151"/>
      <w:r/>
      <w:bookmarkStart w:id="502" w:name="_Toc292559913"/>
      <w:r/>
      <w:bookmarkStart w:id="503" w:name="_Toc296891031"/>
      <w:r/>
      <w:bookmarkStart w:id="504" w:name="_Toc296944542"/>
      <w:r>
        <w:rPr>
          <w:rFonts w:hint="eastAsia" w:ascii="仿宋" w:hAnsi="仿宋" w:eastAsia="仿宋" w:cs="仿宋"/>
          <w:color w:val="000000"/>
          <w:sz w:val="24"/>
          <w:szCs w:val="24"/>
          <w:highlight w:val="none"/>
        </w:rPr>
        <w:t xml:space="preserve">包人的合理化建议</w:t>
      </w:r>
      <w:bookmarkEnd w:id="478"/>
      <w:r/>
      <w:bookmarkEnd w:id="479"/>
      <w:r/>
      <w:bookmarkEnd w:id="48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监理人审查承包人合理化建议的期限：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发包人审批承包人合理化建议的期限：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w:t>
      </w:r>
      <w:bookmarkStart w:id="505" w:name="_Toc312677504"/>
      <w:r/>
      <w:bookmarkStart w:id="506" w:name="_Toc304295571"/>
      <w:r/>
      <w:bookmarkStart w:id="507" w:name="_Toc297216205"/>
      <w:r/>
      <w:bookmarkStart w:id="508" w:name="_Toc303539152"/>
      <w:r/>
      <w:bookmarkStart w:id="509" w:name="_Toc292559914"/>
      <w:r/>
      <w:bookmarkStart w:id="510" w:name="_Toc318581175"/>
      <w:r/>
      <w:bookmarkStart w:id="511" w:name="_Toc296944543"/>
      <w:r/>
      <w:bookmarkStart w:id="512" w:name="_Toc296503204"/>
      <w:r/>
      <w:bookmarkStart w:id="513" w:name="_Toc297120504"/>
      <w:r/>
      <w:bookmarkStart w:id="514" w:name="_Toc296891244"/>
      <w:r/>
      <w:bookmarkStart w:id="515" w:name="_Toc296891032"/>
      <w:r/>
      <w:bookmarkStart w:id="516" w:name="_Toc300934995"/>
      <w:r/>
      <w:bookmarkStart w:id="517" w:name="_Toc297048390"/>
      <w:r/>
      <w:bookmarkStart w:id="518" w:name="_Toc297123546"/>
      <w:r/>
      <w:bookmarkStart w:id="519" w:name="_Toc296346705"/>
      <w:r/>
      <w:bookmarkStart w:id="520" w:name="_Toc296347203"/>
      <w:r/>
      <w:bookmarkStart w:id="521" w:name="_Toc312678030"/>
      <w:r/>
      <w:bookmarkStart w:id="522" w:name="_Toc292559409"/>
      <w:r>
        <w:rPr>
          <w:rFonts w:hint="eastAsia" w:ascii="仿宋" w:hAnsi="仿宋" w:eastAsia="仿宋" w:cs="仿宋"/>
          <w:color w:val="000000"/>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Start w:id="523" w:name="_Toc292559909"/>
      <w:r/>
      <w:bookmarkStart w:id="524" w:name="_Toc312677507"/>
      <w:r/>
      <w:bookmarkStart w:id="525" w:name="_Toc304295574"/>
      <w:r/>
      <w:bookmarkStart w:id="526" w:name="_Toc303539154"/>
      <w:r/>
      <w:bookmarkStart w:id="527" w:name="_Toc292559404"/>
      <w:r/>
      <w:bookmarkStart w:id="528" w:name="_Toc296346700"/>
      <w:r/>
      <w:bookmarkStart w:id="529" w:name="_Toc297216207"/>
      <w:r/>
      <w:bookmarkStart w:id="530" w:name="_Toc297048385"/>
      <w:r/>
      <w:bookmarkStart w:id="531" w:name="_Toc296944538"/>
      <w:r/>
      <w:bookmarkStart w:id="532" w:name="_Toc312678033"/>
      <w:r/>
      <w:bookmarkStart w:id="533" w:name="_Toc296503199"/>
      <w:r/>
      <w:bookmarkStart w:id="534" w:name="_Toc300934997"/>
      <w:r/>
      <w:bookmarkStart w:id="535" w:name="_Toc296891027"/>
      <w:r/>
      <w:bookmarkStart w:id="536" w:name="_Toc296891239"/>
      <w:r/>
      <w:bookmarkStart w:id="537" w:name="_Toc297123548"/>
      <w:r/>
      <w:bookmarkStart w:id="538" w:name="_Toc296347198"/>
      <w:r/>
      <w:bookmarkStart w:id="539" w:name="_Toc297120499"/>
      <w:r>
        <w:rPr>
          <w:rFonts w:hint="eastAsia" w:ascii="仿宋" w:hAnsi="仿宋" w:eastAsia="仿宋" w:cs="仿宋"/>
          <w:color w:val="000000"/>
          <w:sz w:val="24"/>
          <w:szCs w:val="24"/>
          <w:highlight w:val="none"/>
        </w:rPr>
        <w:t xml:space="preserve">0.7 暂估价</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暂</w:t>
      </w:r>
      <w:bookmarkStart w:id="540" w:name="_Toc318581176"/>
      <w:r/>
      <w:bookmarkStart w:id="541" w:name="_Toc312678034"/>
      <w:r/>
      <w:bookmarkStart w:id="542" w:name="_Toc312677508"/>
      <w:r>
        <w:rPr>
          <w:rFonts w:hint="eastAsia" w:ascii="仿宋" w:hAnsi="仿宋" w:eastAsia="仿宋" w:cs="仿宋"/>
          <w:color w:val="000000"/>
          <w:sz w:val="24"/>
          <w:szCs w:val="24"/>
          <w:highlight w:val="none"/>
        </w:rPr>
        <w:t xml:space="preserve">估价材料和工程设备的明细详见附件11：《暂估价一览表》。</w:t>
      </w:r>
      <w:bookmarkEnd w:id="540"/>
      <w:r/>
      <w:bookmarkEnd w:id="541"/>
      <w:r/>
      <w:bookmarkEnd w:id="542"/>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Start w:id="543" w:name="_Toc318581177"/>
      <w:r/>
      <w:bookmarkStart w:id="544" w:name="_Toc312678035"/>
      <w:r/>
      <w:bookmarkStart w:id="545" w:name="_Toc312677509"/>
      <w:r>
        <w:rPr>
          <w:rFonts w:hint="eastAsia" w:ascii="仿宋" w:hAnsi="仿宋" w:eastAsia="仿宋" w:cs="仿宋"/>
          <w:color w:val="000000"/>
          <w:sz w:val="24"/>
          <w:szCs w:val="24"/>
          <w:highlight w:val="none"/>
        </w:rPr>
        <w:t xml:space="preserve">0.7.1 依法必须招标的暂估价项目</w:t>
      </w:r>
      <w:bookmarkEnd w:id="543"/>
      <w:r/>
      <w:bookmarkEnd w:id="544"/>
      <w:r/>
      <w:bookmarkEnd w:id="545"/>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对于依法必须招标的暂估价项目的确认和批准采取第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10.7.2 不属于依法必须招标的暂估价项目</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对于不属于依法必须招标的暂估价项目的确认和批准采取第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第3种方式：承包人直接实施的暂估价项目</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承包人直接实施的暂估价项目的约定：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10.8 暂列金额</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546" w:name="_Toc351203643"/>
      <w:r>
        <w:rPr>
          <w:rFonts w:hint="eastAsia" w:ascii="仿宋" w:hAnsi="仿宋" w:eastAsia="仿宋" w:cs="仿宋"/>
          <w:b w:val="0"/>
          <w:color w:val="000000"/>
          <w:sz w:val="24"/>
          <w:szCs w:val="24"/>
          <w:highlight w:val="none"/>
        </w:rPr>
        <w:t xml:space="preserve">11. 价格调整</w:t>
      </w:r>
      <w:bookmarkEnd w:id="546"/>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547" w:name="_Toc296503201"/>
      <w:r/>
      <w:bookmarkStart w:id="548" w:name="_Toc292559406"/>
      <w:r/>
      <w:bookmarkStart w:id="549" w:name="_Toc304295577"/>
      <w:r/>
      <w:bookmarkStart w:id="550" w:name="_Toc296891029"/>
      <w:r/>
      <w:bookmarkStart w:id="551" w:name="_Toc296891241"/>
      <w:r/>
      <w:bookmarkStart w:id="552" w:name="_Toc297216209"/>
      <w:r/>
      <w:bookmarkStart w:id="553" w:name="_Toc300935000"/>
      <w:r/>
      <w:bookmarkStart w:id="554" w:name="_Toc297120501"/>
      <w:r/>
      <w:bookmarkStart w:id="555" w:name="_Toc292559911"/>
      <w:r/>
      <w:bookmarkStart w:id="556" w:name="_Toc296944540"/>
      <w:r/>
      <w:bookmarkStart w:id="557" w:name="_Toc296347200"/>
      <w:r/>
      <w:bookmarkStart w:id="558" w:name="_Toc303539157"/>
      <w:r/>
      <w:bookmarkStart w:id="559" w:name="_Toc297048387"/>
      <w:r/>
      <w:bookmarkStart w:id="560" w:name="_Toc296346702"/>
      <w:r/>
      <w:bookmarkStart w:id="561" w:name="_Toc312678039"/>
      <w:r/>
      <w:bookmarkStart w:id="562" w:name="_Toc297123550"/>
      <w:r>
        <w:rPr>
          <w:rFonts w:hint="eastAsia" w:ascii="仿宋" w:hAnsi="仿宋" w:eastAsia="仿宋" w:cs="仿宋"/>
          <w:color w:val="000000"/>
          <w:sz w:val="24"/>
          <w:szCs w:val="24"/>
          <w:highlight w:val="none"/>
        </w:rPr>
        <w:t xml:space="preserve">11.1 市场价格波动引起的调整</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市场价格波动是否调整合同价格的约定：</w:t>
      </w:r>
      <w:r>
        <w:rPr>
          <w:rFonts w:hint="eastAsia" w:ascii="仿宋" w:hAnsi="仿宋" w:eastAsia="仿宋" w:cs="仿宋"/>
          <w:color w:val="000000"/>
          <w:sz w:val="24"/>
          <w:szCs w:val="24"/>
          <w:highlight w:val="none"/>
          <w:u w:val="single"/>
        </w:rPr>
        <w:t xml:space="preserve">不作调整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因市场价格波动调整合同价格，采用以下第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种方式对合同价格进行调整：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第1种方式：采用价格指数进行价格调整。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关于各可调因子、定值和变值权重，以及基本价格指数及其来源的约定：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第2种方式：采用造价信息进行价格调整。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（2）关于基准价格的约定：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%时，或材料单价跌幅以已标价工程量清单或预算书中载明材料单价为基础超过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%时，材料单价涨幅以已标价工程量清单或预算书中载明材料单价为基础超过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第3种方式：其他价格调整方式：</w:t>
      </w:r>
      <w:bookmarkEnd w:id="450"/>
      <w:r/>
      <w:bookmarkEnd w:id="451"/>
      <w:r/>
      <w:bookmarkEnd w:id="452"/>
      <w:r/>
      <w:bookmarkEnd w:id="453"/>
      <w:r/>
      <w:bookmarkEnd w:id="454"/>
      <w:r/>
      <w:bookmarkEnd w:id="456"/>
      <w:r/>
      <w:bookmarkStart w:id="563" w:name="_Toc296346706"/>
      <w:r/>
      <w:bookmarkStart w:id="564" w:name="_Toc296891033"/>
      <w:r/>
      <w:bookmarkStart w:id="565" w:name="_Toc296891245"/>
      <w:r/>
      <w:bookmarkStart w:id="566" w:name="_Toc296347204"/>
      <w:r/>
      <w:bookmarkStart w:id="567" w:name="_Toc296944544"/>
      <w:r/>
      <w:bookmarkStart w:id="568" w:name="_Toc292559410"/>
      <w:r/>
      <w:bookmarkStart w:id="569" w:name="_Toc296503205"/>
      <w:r/>
      <w:bookmarkStart w:id="570" w:name="_Toc297048391"/>
      <w:r/>
      <w:bookmarkStart w:id="571" w:name="_Toc304295579"/>
      <w:r/>
      <w:bookmarkStart w:id="572" w:name="_Toc303539159"/>
      <w:r/>
      <w:bookmarkStart w:id="573" w:name="_Toc297216211"/>
      <w:r/>
      <w:bookmarkStart w:id="574" w:name="_Toc312678040"/>
      <w:r/>
      <w:bookmarkStart w:id="575" w:name="_Toc297123552"/>
      <w:r/>
      <w:bookmarkStart w:id="576" w:name="_Toc292559915"/>
      <w:r/>
      <w:bookmarkStart w:id="577" w:name="_Toc351203644"/>
      <w:r/>
      <w:bookmarkStart w:id="578" w:name="_Toc300935002"/>
      <w:r/>
      <w:bookmarkStart w:id="579" w:name="_Toc297120505"/>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 </w:t>
      </w:r>
      <w:bookmarkEnd w:id="563"/>
      <w:r/>
      <w:bookmarkEnd w:id="564"/>
      <w:r/>
      <w:bookmarkEnd w:id="565"/>
      <w:r/>
      <w:bookmarkEnd w:id="566"/>
      <w:r/>
      <w:bookmarkEnd w:id="567"/>
      <w:r/>
      <w:bookmarkEnd w:id="568"/>
      <w:r/>
      <w:bookmarkEnd w:id="569"/>
      <w:r/>
      <w:bookmarkEnd w:id="570"/>
      <w:r/>
      <w:bookmarkEnd w:id="576"/>
      <w:r/>
      <w:bookmarkEnd w:id="579"/>
      <w:r>
        <w:rPr>
          <w:rFonts w:hint="eastAsia" w:ascii="仿宋" w:hAnsi="仿宋" w:eastAsia="仿宋" w:cs="仿宋"/>
          <w:b/>
          <w:color w:val="000000"/>
          <w:sz w:val="24"/>
          <w:szCs w:val="24"/>
          <w:highlight w:val="none"/>
        </w:rPr>
        <w:t xml:space="preserve">合同价格、计量与支付</w:t>
      </w:r>
      <w:bookmarkEnd w:id="571"/>
      <w:r/>
      <w:bookmarkEnd w:id="572"/>
      <w:r/>
      <w:bookmarkEnd w:id="573"/>
      <w:r/>
      <w:bookmarkEnd w:id="574"/>
      <w:r/>
      <w:bookmarkEnd w:id="575"/>
      <w:r/>
      <w:bookmarkEnd w:id="577"/>
      <w:r/>
      <w:bookmarkEnd w:id="578"/>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580" w:name="_Toc303539160"/>
      <w:r/>
      <w:bookmarkStart w:id="581" w:name="_Toc300935003"/>
      <w:r/>
      <w:bookmarkStart w:id="582" w:name="_Toc267251461"/>
      <w:r/>
      <w:bookmarkStart w:id="583" w:name="_Toc304295580"/>
      <w:r/>
      <w:bookmarkStart w:id="584" w:name="_Toc297123553"/>
      <w:r/>
      <w:bookmarkStart w:id="585" w:name="_Toc292559916"/>
      <w:r/>
      <w:bookmarkStart w:id="586" w:name="_Toc297120506"/>
      <w:r/>
      <w:bookmarkStart w:id="587" w:name="_Toc296503206"/>
      <w:r/>
      <w:bookmarkStart w:id="588" w:name="_Toc297048392"/>
      <w:r/>
      <w:bookmarkStart w:id="589" w:name="_Toc297216212"/>
      <w:r/>
      <w:bookmarkStart w:id="590" w:name="_Toc292559411"/>
      <w:r/>
      <w:bookmarkStart w:id="591" w:name="_Toc296891246"/>
      <w:r/>
      <w:bookmarkStart w:id="592" w:name="_Toc296346707"/>
      <w:r/>
      <w:bookmarkStart w:id="593" w:name="_Toc296944545"/>
      <w:r/>
      <w:bookmarkStart w:id="594" w:name="_Toc296347205"/>
      <w:r/>
      <w:bookmarkStart w:id="595" w:name="_Toc312678041"/>
      <w:r/>
      <w:bookmarkStart w:id="596" w:name="_Toc296891034"/>
      <w:r>
        <w:rPr>
          <w:rFonts w:hint="eastAsia" w:ascii="仿宋" w:hAnsi="仿宋" w:eastAsia="仿宋" w:cs="仿宋"/>
          <w:color w:val="000000"/>
          <w:sz w:val="24"/>
          <w:szCs w:val="24"/>
          <w:highlight w:val="none"/>
        </w:rPr>
        <w:t xml:space="preserve">12.1 合</w:t>
      </w:r>
      <w:bookmarkEnd w:id="582"/>
      <w:r/>
      <w:bookmarkEnd w:id="585"/>
      <w:r/>
      <w:bookmarkEnd w:id="590"/>
      <w:r>
        <w:rPr>
          <w:rFonts w:hint="eastAsia" w:ascii="仿宋" w:hAnsi="仿宋" w:eastAsia="仿宋" w:cs="仿宋"/>
          <w:color w:val="000000"/>
          <w:sz w:val="24"/>
          <w:szCs w:val="24"/>
          <w:highlight w:val="none"/>
        </w:rPr>
        <w:t xml:space="preserve">同价</w:t>
      </w:r>
      <w:bookmarkEnd w:id="586"/>
      <w:r/>
      <w:bookmarkEnd w:id="587"/>
      <w:r/>
      <w:bookmarkEnd w:id="588"/>
      <w:r/>
      <w:bookmarkEnd w:id="591"/>
      <w:r/>
      <w:bookmarkEnd w:id="592"/>
      <w:r/>
      <w:bookmarkEnd w:id="593"/>
      <w:r/>
      <w:bookmarkEnd w:id="594"/>
      <w:r/>
      <w:bookmarkEnd w:id="596"/>
      <w:r>
        <w:rPr>
          <w:rFonts w:hint="eastAsia" w:ascii="仿宋" w:hAnsi="仿宋" w:eastAsia="仿宋" w:cs="仿宋"/>
          <w:color w:val="000000"/>
          <w:sz w:val="24"/>
          <w:szCs w:val="24"/>
          <w:highlight w:val="none"/>
        </w:rPr>
        <w:t xml:space="preserve">格形式</w:t>
      </w:r>
      <w:bookmarkEnd w:id="580"/>
      <w:r/>
      <w:bookmarkEnd w:id="581"/>
      <w:r/>
      <w:bookmarkEnd w:id="583"/>
      <w:r/>
      <w:bookmarkEnd w:id="584"/>
      <w:r/>
      <w:bookmarkEnd w:id="589"/>
      <w:r/>
      <w:bookmarkEnd w:id="595"/>
      <w:r>
        <w:rPr>
          <w:rFonts w:hint="eastAsia" w:ascii="仿宋" w:hAnsi="仿宋" w:eastAsia="仿宋" w:cs="仿宋"/>
          <w:color w:val="000000"/>
          <w:sz w:val="24"/>
          <w:szCs w:val="24"/>
          <w:highlight w:val="none"/>
        </w:rPr>
      </w:r>
      <w:r/>
    </w:p>
    <w:p>
      <w:pPr>
        <w:pStyle w:val="1071"/>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合同价格包含的风险范围：本合同价款采用固定单价的方式。该价格是工程量清单范围内所确定的招标范围内的全部工作内容的价格体现，并包括供应商技</w:t>
      </w:r>
      <w:r>
        <w:rPr>
          <w:rFonts w:hint="eastAsia" w:ascii="仿宋" w:hAnsi="仿宋" w:eastAsia="仿宋" w:cs="仿宋"/>
          <w:color w:val="000000"/>
          <w:sz w:val="24"/>
          <w:szCs w:val="24"/>
          <w:highlight w:val="none"/>
        </w:rPr>
        <w:t xml:space="preserve">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设计费、招标代理服务费、结算审计费、监理费、税金和合同中包含的供应商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rPr>
          <w:rFonts w:hint="eastAsia" w:ascii="仿宋" w:hAnsi="仿宋" w:eastAsia="仿宋" w:cs="仿宋"/>
          <w:color w:val="000000"/>
          <w:sz w:val="24"/>
          <w:szCs w:val="24"/>
          <w:highlight w:val="none"/>
        </w:rPr>
      </w:r>
      <w:r/>
    </w:p>
    <w:p>
      <w:pPr>
        <w:pStyle w:val="906"/>
        <w:spacing w:line="360" w:lineRule="auto"/>
        <w:tabs>
          <w:tab w:val="left" w:pos="0" w:leader="none"/>
          <w:tab w:val="left" w:pos="1134" w:leader="none"/>
        </w:tabs>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风险费用的计算方法：一律不予调整。</w:t>
      </w:r>
      <w:r>
        <w:rPr>
          <w:rFonts w:hint="eastAsia" w:ascii="仿宋" w:hAnsi="仿宋" w:eastAsia="仿宋" w:cs="仿宋"/>
          <w:b/>
          <w:bCs/>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00"/>
          <w:sz w:val="24"/>
          <w:szCs w:val="24"/>
          <w:highlight w:val="none"/>
          <w:u w:val="single"/>
        </w:rPr>
        <w:t xml:space="preserve">▲调整因素：</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⑴发包人批准的设计变更；</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⑵施工合同条款约定或工程量清单范围之外其他可以调整的因素。</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▲调整方法：</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1、设计变更、变动后的子目或漏项的综合单价，按以下办法调整：</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⑴工程量清单中已有工作内容和价格组成相同于变更子目或单项的综合单价时，按合同已有综合单价执行；</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⑵工程量清单中只有工作内容和价格组成类似于变更子目或单项的综合单价时，可以参照类似综合单价，由双方协商调整后确定变更的综合单价；</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⑶工程量清单中没有工作内容和价格组成相同或类似于变更子目或单项的综合单价时，由承包人按投标时的计价标准及投标费率编制变更综合单价报送发包人确定。</w:t>
      </w:r>
      <w:r>
        <w:rPr>
          <w:rFonts w:hint="eastAsia" w:ascii="仿宋" w:hAnsi="仿宋" w:eastAsia="仿宋" w:cs="仿宋"/>
          <w:color w:val="000000"/>
          <w:sz w:val="24"/>
          <w:szCs w:val="24"/>
          <w:highlight w:val="none"/>
          <w:u w:val="single"/>
        </w:rPr>
      </w:r>
      <w:r/>
    </w:p>
    <w:p>
      <w:pPr>
        <w:pStyle w:val="1071"/>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（4）合同价格调整</w:t>
      </w:r>
      <w:r>
        <w:rPr>
          <w:rFonts w:hint="eastAsia" w:ascii="仿宋" w:hAnsi="仿宋" w:eastAsia="仿宋" w:cs="仿宋"/>
          <w:color w:val="000000"/>
          <w:sz w:val="24"/>
          <w:szCs w:val="24"/>
          <w:highlight w:val="none"/>
          <w:u w:val="single"/>
        </w:rPr>
      </w:r>
      <w:r/>
    </w:p>
    <w:p>
      <w:pPr>
        <w:pStyle w:val="1071"/>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在下述情况发生后30日内，合同双方均有权将调整合同价格的原因及调整金额，以书面形式通知对方或监理人。经发包人确认的合理金额，作为合同价格的调整金额，并在支付当期工程进度款时支付或扣减调整的金额。一方收到另一方通知后15日内不予确认，也未能提出修改意见的，视为已经同意该项价格的调整。合同价格调整包括以下情况：</w:t>
      </w:r>
      <w:r>
        <w:rPr>
          <w:rFonts w:hint="eastAsia" w:ascii="仿宋" w:hAnsi="仿宋" w:eastAsia="仿宋" w:cs="仿宋"/>
          <w:color w:val="000000"/>
          <w:sz w:val="24"/>
          <w:szCs w:val="24"/>
          <w:highlight w:val="none"/>
          <w:u w:val="single"/>
        </w:rPr>
      </w:r>
      <w:r/>
    </w:p>
    <w:p>
      <w:pPr>
        <w:pStyle w:val="1071"/>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（1）合同签订后，因法律、国家政策和需遵守的行业规定发生变化，影响到合同价格增减的；</w:t>
      </w:r>
      <w:r>
        <w:rPr>
          <w:rFonts w:hint="eastAsia" w:ascii="仿宋" w:hAnsi="仿宋" w:eastAsia="仿宋" w:cs="仿宋"/>
          <w:color w:val="000000"/>
          <w:sz w:val="24"/>
          <w:szCs w:val="24"/>
          <w:highlight w:val="none"/>
          <w:u w:val="single"/>
        </w:rPr>
      </w:r>
      <w:r/>
    </w:p>
    <w:p>
      <w:pPr>
        <w:pStyle w:val="1071"/>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（2）合同执行过程中，工程造价管理部门公布的价格调整，涉及承包人投入成本增减的；</w:t>
      </w:r>
      <w:r>
        <w:rPr>
          <w:rFonts w:hint="eastAsia" w:ascii="仿宋" w:hAnsi="仿宋" w:eastAsia="仿宋" w:cs="仿宋"/>
          <w:color w:val="000000"/>
          <w:sz w:val="24"/>
          <w:szCs w:val="24"/>
          <w:highlight w:val="none"/>
          <w:u w:val="single"/>
        </w:rPr>
      </w:r>
      <w:r/>
    </w:p>
    <w:p>
      <w:pPr>
        <w:pStyle w:val="1071"/>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（3）一周内非承包人原因的停水、停电、停气、道路中断等，造成工程现场停工累计超过8小时的（承包人须提交报告并提供可证实的证明和估算）；</w:t>
      </w:r>
      <w:r>
        <w:rPr>
          <w:rFonts w:hint="eastAsia" w:ascii="仿宋" w:hAnsi="仿宋" w:eastAsia="仿宋" w:cs="仿宋"/>
          <w:color w:val="000000"/>
          <w:sz w:val="24"/>
          <w:szCs w:val="24"/>
          <w:highlight w:val="none"/>
          <w:u w:val="single"/>
        </w:rPr>
      </w:r>
      <w:r/>
    </w:p>
    <w:p>
      <w:pPr>
        <w:pStyle w:val="1071"/>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（4）合同约定的其它增减的款项调整。</w:t>
      </w:r>
      <w:r>
        <w:rPr>
          <w:rFonts w:hint="eastAsia" w:ascii="仿宋" w:hAnsi="仿宋" w:eastAsia="仿宋" w:cs="仿宋"/>
          <w:color w:val="000000"/>
          <w:sz w:val="24"/>
          <w:szCs w:val="24"/>
          <w:highlight w:val="none"/>
          <w:u w:val="single"/>
        </w:rPr>
      </w:r>
      <w:r/>
    </w:p>
    <w:p>
      <w:pPr>
        <w:pStyle w:val="1071"/>
        <w:ind w:firstLine="42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对于合同中未约定的增减款项，发包人不承担调整合同价格的责任。除非法律另有规定时除外。合同价格的调整不包括合同变更。</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bookmarkStart w:id="597" w:name="_Toc292559412"/>
      <w:r/>
      <w:bookmarkStart w:id="598" w:name="_Toc296503207"/>
      <w:r/>
      <w:bookmarkStart w:id="599" w:name="_Toc296891035"/>
      <w:r/>
      <w:bookmarkStart w:id="600" w:name="_Toc296347206"/>
      <w:r/>
      <w:bookmarkStart w:id="601" w:name="_Toc297123554"/>
      <w:r/>
      <w:bookmarkStart w:id="602" w:name="_Toc304295581"/>
      <w:r/>
      <w:bookmarkStart w:id="603" w:name="_Toc303539161"/>
      <w:r/>
      <w:bookmarkStart w:id="604" w:name="_Toc312678042"/>
      <w:r/>
      <w:bookmarkStart w:id="605" w:name="_Toc297216213"/>
      <w:r/>
      <w:bookmarkStart w:id="606" w:name="_Toc300935004"/>
      <w:r/>
      <w:bookmarkStart w:id="607" w:name="_Toc292559917"/>
      <w:r/>
      <w:bookmarkStart w:id="608" w:name="_Toc296944546"/>
      <w:r/>
      <w:bookmarkStart w:id="609" w:name="_Toc296346708"/>
      <w:r/>
      <w:bookmarkStart w:id="610" w:name="_Toc296891247"/>
      <w:r/>
      <w:bookmarkStart w:id="611" w:name="_Toc297048393"/>
      <w:r/>
      <w:bookmarkStart w:id="612" w:name="_Toc297120507"/>
      <w:r>
        <w:rPr>
          <w:rFonts w:hint="eastAsia" w:ascii="仿宋" w:hAnsi="仿宋" w:eastAsia="仿宋" w:cs="仿宋"/>
          <w:color w:val="000000"/>
          <w:sz w:val="24"/>
          <w:szCs w:val="24"/>
          <w:highlight w:val="none"/>
        </w:rPr>
        <w:t xml:space="preserve">12.2 预付款</w:t>
      </w:r>
      <w:bookmarkEnd w:id="601"/>
      <w:r/>
      <w:bookmarkEnd w:id="602"/>
      <w:r/>
      <w:bookmarkEnd w:id="603"/>
      <w:r/>
      <w:bookmarkEnd w:id="604"/>
      <w:r/>
      <w:bookmarkEnd w:id="605"/>
      <w:r/>
      <w:bookmarkEnd w:id="606"/>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12.2.1 预付款的支付</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single"/>
        </w:rPr>
        <w:t xml:space="preserve"> 按合同价的30%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rPr>
        <w:t xml:space="preserve">施工单位进场后一周内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12.2.2 预付款担保</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End w:id="597"/>
      <w:r/>
      <w:bookmarkEnd w:id="598"/>
      <w:r/>
      <w:bookmarkEnd w:id="599"/>
      <w:r/>
      <w:bookmarkEnd w:id="600"/>
      <w:r/>
      <w:bookmarkEnd w:id="607"/>
      <w:r/>
      <w:bookmarkEnd w:id="608"/>
      <w:r/>
      <w:bookmarkEnd w:id="609"/>
      <w:r/>
      <w:bookmarkEnd w:id="610"/>
      <w:r/>
      <w:bookmarkEnd w:id="611"/>
      <w:r/>
      <w:bookmarkEnd w:id="612"/>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 计量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12.3.1 计量原则</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工程量计算规则：</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12.3.2 计量周期</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12.3.3 单价合同的计量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12.3.4 总价合同的计量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关于总价合同计量的约定：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12.3.6 其他价格形式合同的计量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其他价格形式的计量方式和程序：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 工程进度款支付</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613" w:name="_Toc303539163"/>
      <w:r/>
      <w:bookmarkStart w:id="614" w:name="_Toc296944550"/>
      <w:r/>
      <w:bookmarkStart w:id="615" w:name="_Toc292559416"/>
      <w:r/>
      <w:bookmarkStart w:id="616" w:name="_Toc296891251"/>
      <w:r/>
      <w:bookmarkStart w:id="617" w:name="_Toc292559921"/>
      <w:r/>
      <w:bookmarkStart w:id="618" w:name="_Toc296891039"/>
      <w:r/>
      <w:bookmarkStart w:id="619" w:name="_Toc297216215"/>
      <w:r/>
      <w:bookmarkStart w:id="620" w:name="_Toc297123556"/>
      <w:r/>
      <w:bookmarkStart w:id="621" w:name="_Toc296503211"/>
      <w:r/>
      <w:bookmarkStart w:id="622" w:name="_Toc297048397"/>
      <w:r/>
      <w:bookmarkStart w:id="623" w:name="_Toc297120511"/>
      <w:r/>
      <w:bookmarkStart w:id="624" w:name="_Toc300935006"/>
      <w:r/>
      <w:bookmarkStart w:id="625" w:name="_Toc296347210"/>
      <w:r/>
      <w:bookmarkStart w:id="626" w:name="_Toc296346712"/>
      <w:r>
        <w:rPr>
          <w:rFonts w:hint="eastAsia" w:ascii="仿宋" w:hAnsi="仿宋" w:eastAsia="仿宋" w:cs="仿宋"/>
          <w:color w:val="000000"/>
          <w:sz w:val="24"/>
          <w:szCs w:val="24"/>
          <w:highlight w:val="none"/>
        </w:rPr>
        <w:t xml:space="preserve">12.4.1 付款周期</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关于付款周期的约定：</w:t>
      </w:r>
      <w:r>
        <w:rPr>
          <w:rFonts w:hint="eastAsia" w:ascii="仿宋" w:hAnsi="仿宋" w:eastAsia="仿宋" w:cs="仿宋"/>
          <w:color w:val="000000"/>
          <w:sz w:val="24"/>
          <w:szCs w:val="24"/>
          <w:highlight w:val="none"/>
          <w:u w:val="single"/>
        </w:rPr>
      </w:r>
      <w:r/>
    </w:p>
    <w:p>
      <w:pPr>
        <w:pStyle w:val="906"/>
        <w:jc w:val="left"/>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（1）合同签订后七个工作日内支付合同金额的30%。 </w:t>
      </w:r>
      <w:r>
        <w:rPr>
          <w:rFonts w:hint="eastAsia" w:ascii="仿宋" w:hAnsi="仿宋" w:eastAsia="仿宋" w:cs="仿宋"/>
          <w:bCs/>
          <w:color w:val="000000"/>
          <w:sz w:val="24"/>
          <w:szCs w:val="24"/>
          <w:highlight w:val="none"/>
        </w:rPr>
      </w:r>
      <w:r/>
    </w:p>
    <w:p>
      <w:pPr>
        <w:pStyle w:val="906"/>
        <w:jc w:val="left"/>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（2）施工结束，完成交付及培训工作后七个工作日内支付合同金额的40%。 </w:t>
      </w:r>
      <w:r>
        <w:rPr>
          <w:rFonts w:hint="eastAsia" w:ascii="仿宋" w:hAnsi="仿宋" w:eastAsia="仿宋" w:cs="仿宋"/>
          <w:bCs/>
          <w:color w:val="000000"/>
          <w:sz w:val="24"/>
          <w:szCs w:val="24"/>
          <w:highlight w:val="none"/>
        </w:rPr>
      </w:r>
      <w:r/>
    </w:p>
    <w:p>
      <w:pPr>
        <w:pStyle w:val="906"/>
        <w:jc w:val="left"/>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施工结束，维护保障服务开启30天内提交合格的见证性资料，经审计后，中标供应商开具全额增值税专用发票后，采购人支付至审计价的100%（发包人付款前会根据施工现场安全文明，有无质量或安全事故，进度提前或滞后，施工期的配合程度等综合考虑付款时间且不构成违约）。 </w:t>
      </w:r>
      <w:r>
        <w:rPr>
          <w:rFonts w:hint="eastAsia" w:ascii="仿宋" w:hAnsi="仿宋" w:eastAsia="仿宋" w:cs="仿宋"/>
          <w:bCs/>
          <w:color w:val="000000"/>
          <w:sz w:val="24"/>
          <w:szCs w:val="24"/>
          <w:highlight w:val="none"/>
        </w:rPr>
      </w:r>
      <w:r/>
    </w:p>
    <w:p>
      <w:pPr>
        <w:pStyle w:val="906"/>
        <w:jc w:val="left"/>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支付至审计价100%时，承包人须提前5个工作日按发包人要求将工程项目最终结算价的3%的款项汇入发包人指定账户作为项目质保金，逾期汇入项目质保金的，发包人有权相应顺延付款日期且无需承担违约责任。工程质保期起算两年后无质量问题，承包人提出书面申请，发包人在接到书面申请十个工作日内无息返还承包人3%质量保证金。</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5）发包人支付给承包人的工程预付款及进度款，承包人只能用本工程有关的劳力、材料、机械等费用。发包人有权对承包人工程款的使用进行监督，如工程预付款及进度款用于支付与本工程无关的费用，发包人有权立即停止付款。</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在达到相应的付款节点后，承包人应提出付款申请，写明收款账号，并开具等额发票（注：在工程决算审计完成后，承包人应开齐对应审定价的全额发票），经发包人审核无误后支付。否则发包人有权暂停支付。</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采购人有权根据工程进度调整进度款付款的比例。</w:t>
      </w:r>
      <w:bookmarkEnd w:id="455"/>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bookmarkStart w:id="627" w:name="_Toc267251475"/>
      <w:r/>
      <w:bookmarkStart w:id="628" w:name="_Toc267251470"/>
      <w:r/>
      <w:bookmarkStart w:id="629" w:name="_Toc267251476"/>
      <w:r/>
      <w:bookmarkStart w:id="630" w:name="_Toc267251471"/>
      <w:r/>
      <w:bookmarkStart w:id="631" w:name="_Toc267251473"/>
      <w:r/>
      <w:bookmarkStart w:id="632" w:name="_Toc267251474"/>
      <w:r/>
      <w:bookmarkStart w:id="633" w:name="_Toc280868709"/>
      <w:r/>
      <w:bookmarkStart w:id="634" w:name="_Toc267251472"/>
      <w:r>
        <w:rPr>
          <w:rFonts w:hint="eastAsia" w:ascii="仿宋" w:hAnsi="仿宋" w:eastAsia="仿宋" w:cs="仿宋"/>
          <w:color w:val="000000"/>
          <w:sz w:val="24"/>
          <w:szCs w:val="24"/>
          <w:highlight w:val="none"/>
        </w:rPr>
        <w:t xml:space="preserve">12.4.2 进度付款申请单的编制</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关于进度付款申请单编制的约定：</w:t>
      </w:r>
      <w:r>
        <w:rPr>
          <w:rFonts w:hint="eastAsia" w:ascii="仿宋" w:hAnsi="仿宋" w:eastAsia="仿宋" w:cs="仿宋"/>
          <w:color w:val="000000"/>
          <w:sz w:val="24"/>
          <w:szCs w:val="24"/>
          <w:highlight w:val="none"/>
          <w:u w:val="single"/>
        </w:rPr>
        <w:t xml:space="preserve">根据发包人的具体要求执行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12.4.3 进度付款申请单的提交</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（1）单价合同进度付款申请单提交的约定：</w:t>
      </w:r>
      <w:r>
        <w:rPr>
          <w:rFonts w:hint="eastAsia" w:ascii="仿宋" w:hAnsi="仿宋" w:eastAsia="仿宋" w:cs="仿宋"/>
          <w:color w:val="000000"/>
          <w:sz w:val="24"/>
          <w:szCs w:val="24"/>
          <w:highlight w:val="none"/>
          <w:u w:val="single"/>
        </w:rPr>
        <w:t xml:space="preserve">根据发包人的具体要求执行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（2）总价合同进度付款申请单提交的约定：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（3）其他价格形式合同进度付款申请单提交的约定：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12.4.4 进度款审核和支付</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（1）监理人审查并报送发包人的期限：</w:t>
      </w:r>
      <w:r>
        <w:rPr>
          <w:rFonts w:hint="eastAsia" w:ascii="仿宋" w:hAnsi="仿宋" w:eastAsia="仿宋" w:cs="仿宋"/>
          <w:color w:val="000000"/>
          <w:sz w:val="24"/>
          <w:szCs w:val="24"/>
          <w:highlight w:val="none"/>
          <w:u w:val="single"/>
        </w:rPr>
        <w:t xml:space="preserve">按照通用条款执行，发包人另有规定的按照发包人要求执行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发包人完成审批并签发进度款支付证书的期限：</w:t>
      </w:r>
      <w:r>
        <w:rPr>
          <w:rFonts w:hint="eastAsia" w:ascii="仿宋" w:hAnsi="仿宋" w:eastAsia="仿宋" w:cs="仿宋"/>
          <w:color w:val="000000"/>
          <w:sz w:val="24"/>
          <w:szCs w:val="24"/>
          <w:highlight w:val="none"/>
          <w:u w:val="single"/>
        </w:rPr>
        <w:t xml:space="preserve"> 按照通用条款执行，发包人另有规定的按照发包人要求执行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（2）发包人支付进度款的期限：</w:t>
      </w:r>
      <w:r>
        <w:rPr>
          <w:rFonts w:hint="eastAsia" w:ascii="仿宋" w:hAnsi="仿宋" w:eastAsia="仿宋" w:cs="仿宋"/>
          <w:color w:val="000000"/>
          <w:sz w:val="24"/>
          <w:szCs w:val="24"/>
          <w:highlight w:val="none"/>
          <w:u w:val="single"/>
        </w:rPr>
        <w:t xml:space="preserve">按照通用条款执行，发包人另有规定的按照发包人要求执行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发包人逾期支付进度款的违约金的计算方式：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12.4.6 支付分解表的编制</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2、总价合同支付分解表的编制与审批：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3、单价合同的总价项目支付分解表的编制与审批：</w:t>
      </w:r>
      <w:r>
        <w:rPr>
          <w:rFonts w:hint="eastAsia" w:ascii="仿宋" w:hAnsi="仿宋" w:eastAsia="仿宋" w:cs="仿宋"/>
          <w:color w:val="000000"/>
          <w:sz w:val="24"/>
          <w:szCs w:val="24"/>
          <w:highlight w:val="none"/>
          <w:u w:val="single"/>
        </w:rPr>
        <w:t xml:space="preserve">按照通用条款执行，发包人另有规定的按照发包人要求执行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keepLines/>
        <w:keepNext/>
        <w:spacing w:line="360" w:lineRule="auto"/>
        <w:rPr>
          <w:rFonts w:hint="eastAsia" w:ascii="仿宋" w:hAnsi="仿宋" w:eastAsia="仿宋" w:cs="仿宋"/>
          <w:color w:val="000000"/>
          <w:sz w:val="24"/>
          <w:szCs w:val="24"/>
          <w:highlight w:val="none"/>
        </w:rPr>
        <w:outlineLvl w:val="3"/>
      </w:pPr>
      <w:r/>
      <w:bookmarkStart w:id="635" w:name="_Toc296891047"/>
      <w:r/>
      <w:bookmarkStart w:id="636" w:name="_Toc292559424"/>
      <w:r/>
      <w:bookmarkStart w:id="637" w:name="_Toc296503219"/>
      <w:r/>
      <w:bookmarkStart w:id="638" w:name="_Toc296346720"/>
      <w:r/>
      <w:bookmarkStart w:id="639" w:name="_Toc300935015"/>
      <w:r/>
      <w:bookmarkStart w:id="640" w:name="_Toc312678053"/>
      <w:r/>
      <w:bookmarkStart w:id="641" w:name="_Toc351203645"/>
      <w:r/>
      <w:bookmarkStart w:id="642" w:name="_Toc297120519"/>
      <w:r/>
      <w:bookmarkStart w:id="643" w:name="_Toc296944558"/>
      <w:r/>
      <w:bookmarkStart w:id="644" w:name="_Toc304295593"/>
      <w:r/>
      <w:bookmarkStart w:id="645" w:name="_Toc292559929"/>
      <w:r/>
      <w:bookmarkStart w:id="646" w:name="_Toc297216223"/>
      <w:r/>
      <w:bookmarkStart w:id="647" w:name="_Toc297123564"/>
      <w:r/>
      <w:bookmarkStart w:id="648" w:name="_Toc296891259"/>
      <w:r/>
      <w:bookmarkStart w:id="649" w:name="_Toc296347218"/>
      <w:r/>
      <w:bookmarkStart w:id="650" w:name="_Toc297048405"/>
      <w:r/>
      <w:bookmarkStart w:id="651" w:name="_Toc303539172"/>
      <w:r>
        <w:rPr>
          <w:rFonts w:hint="eastAsia" w:ascii="仿宋" w:hAnsi="仿宋" w:eastAsia="仿宋" w:cs="仿宋"/>
          <w:color w:val="000000"/>
          <w:sz w:val="24"/>
          <w:szCs w:val="24"/>
          <w:highlight w:val="none"/>
        </w:rPr>
        <w:t xml:space="preserve">13. 验收和工程试车</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分部分项工程验收</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13.1.2监理人不能按时进行验收时，应提前</w:t>
      </w:r>
      <w:r>
        <w:rPr>
          <w:rFonts w:hint="eastAsia" w:ascii="仿宋" w:hAnsi="仿宋" w:eastAsia="仿宋" w:cs="仿宋"/>
          <w:color w:val="000000"/>
          <w:sz w:val="24"/>
          <w:szCs w:val="24"/>
          <w:highlight w:val="none"/>
          <w:u w:val="single"/>
        </w:rPr>
        <w:t xml:space="preserve">24 </w:t>
      </w:r>
      <w:r>
        <w:rPr>
          <w:rFonts w:hint="eastAsia" w:ascii="仿宋" w:hAnsi="仿宋" w:eastAsia="仿宋" w:cs="仿宋"/>
          <w:color w:val="000000"/>
          <w:sz w:val="24"/>
          <w:szCs w:val="24"/>
          <w:highlight w:val="none"/>
        </w:rPr>
        <w:t xml:space="preserve">小时提交书面延期要求。</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48 </w:t>
      </w:r>
      <w:r>
        <w:rPr>
          <w:rFonts w:hint="eastAsia" w:ascii="仿宋" w:hAnsi="仿宋" w:eastAsia="仿宋" w:cs="仿宋"/>
          <w:color w:val="000000"/>
          <w:sz w:val="24"/>
          <w:szCs w:val="24"/>
          <w:highlight w:val="none"/>
        </w:rPr>
        <w:t xml:space="preserve">小时。</w:t>
      </w: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652" w:name="_Toc296346724"/>
      <w:r/>
      <w:bookmarkStart w:id="653" w:name="_Toc296891263"/>
      <w:r/>
      <w:bookmarkStart w:id="654" w:name="_Toc297123565"/>
      <w:r/>
      <w:bookmarkStart w:id="655" w:name="_Toc303539173"/>
      <w:r/>
      <w:bookmarkStart w:id="656" w:name="_Toc296891051"/>
      <w:r/>
      <w:bookmarkStart w:id="657" w:name="_Toc292559933"/>
      <w:r/>
      <w:bookmarkStart w:id="658" w:name="_Toc297216224"/>
      <w:r/>
      <w:bookmarkStart w:id="659" w:name="_Toc297120523"/>
      <w:r/>
      <w:bookmarkStart w:id="660" w:name="_Toc292559428"/>
      <w:r/>
      <w:bookmarkStart w:id="661" w:name="_Toc296347222"/>
      <w:r/>
      <w:bookmarkStart w:id="662" w:name="_Toc297048409"/>
      <w:r/>
      <w:bookmarkStart w:id="663" w:name="_Toc312678056"/>
      <w:r/>
      <w:bookmarkStart w:id="664" w:name="_Toc296503223"/>
      <w:r/>
      <w:bookmarkStart w:id="665" w:name="_Toc296944562"/>
      <w:r/>
      <w:bookmarkStart w:id="666" w:name="_Toc300935016"/>
      <w:r/>
      <w:bookmarkStart w:id="667" w:name="_Toc304295596"/>
      <w:r>
        <w:rPr>
          <w:rFonts w:hint="eastAsia" w:ascii="仿宋" w:hAnsi="仿宋" w:eastAsia="仿宋" w:cs="仿宋"/>
          <w:color w:val="000000"/>
          <w:sz w:val="24"/>
          <w:szCs w:val="24"/>
          <w:highlight w:val="none"/>
        </w:rPr>
        <w:t xml:space="preserve">13.2 竣工验收</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bookmarkStart w:id="668" w:name="_Toc280868704"/>
      <w:r/>
      <w:bookmarkStart w:id="669" w:name="_Toc280868705"/>
      <w:r/>
      <w:bookmarkStart w:id="670" w:name="_Toc280868706"/>
      <w:r/>
      <w:bookmarkStart w:id="671" w:name="_Toc280868707"/>
      <w:r/>
      <w:bookmarkStart w:id="672" w:name="_Toc280868708"/>
      <w:r>
        <w:rPr>
          <w:rFonts w:hint="eastAsia" w:ascii="仿宋" w:hAnsi="仿宋" w:eastAsia="仿宋" w:cs="仿宋"/>
          <w:color w:val="000000"/>
          <w:sz w:val="24"/>
          <w:szCs w:val="24"/>
          <w:highlight w:val="none"/>
        </w:rPr>
        <w:t xml:space="preserve">13.2.2竣工验收程序</w:t>
      </w:r>
      <w:bookmarkEnd w:id="668"/>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关于竣工验收程序的约定：</w:t>
      </w:r>
      <w:r>
        <w:rPr>
          <w:rFonts w:hint="eastAsia" w:ascii="仿宋" w:hAnsi="仿宋" w:eastAsia="仿宋" w:cs="仿宋"/>
          <w:color w:val="000000"/>
          <w:sz w:val="24"/>
          <w:szCs w:val="24"/>
          <w:highlight w:val="none"/>
          <w:u w:val="single"/>
        </w:rPr>
        <w:t xml:space="preserve">按照通用条款执行，发包人另有规定的按照发包人要求执行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发包人不按照本项约定组织竣工验收、颁发工程接收证书的违约金的计算方法：</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End w:id="669"/>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13.2.5移交、接收全部与部分工程</w:t>
      </w:r>
      <w:bookmarkEnd w:id="670"/>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承包人向发包人移交工程的期限：</w:t>
      </w:r>
      <w:r>
        <w:rPr>
          <w:rFonts w:hint="eastAsia" w:ascii="仿宋" w:hAnsi="仿宋" w:eastAsia="仿宋" w:cs="仿宋"/>
          <w:color w:val="000000"/>
          <w:sz w:val="24"/>
          <w:szCs w:val="24"/>
          <w:highlight w:val="none"/>
          <w:u w:val="single"/>
        </w:rPr>
        <w:t xml:space="preserve">按照合同约定工期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发包人未按本合同约定接收全部或部分工程的，违约金的计算方法为：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End w:id="671"/>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承包人未按时移交工程的，违约金的计算方法为：</w:t>
      </w:r>
      <w:r>
        <w:rPr>
          <w:rFonts w:hint="eastAsia" w:ascii="仿宋" w:hAnsi="仿宋" w:eastAsia="仿宋" w:cs="仿宋"/>
          <w:color w:val="000000"/>
          <w:sz w:val="24"/>
          <w:szCs w:val="24"/>
          <w:highlight w:val="none"/>
          <w:u w:val="single"/>
        </w:rPr>
        <w:t xml:space="preserve">合同工期每延迟一天，承包人需承担合同价格 0.5%的违约金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工程试车</w:t>
      </w:r>
      <w:bookmarkEnd w:id="672"/>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13.3.1 试车程序</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工程试车内容：</w:t>
      </w:r>
      <w:r>
        <w:rPr>
          <w:rFonts w:hint="eastAsia" w:ascii="仿宋" w:hAnsi="仿宋" w:eastAsia="仿宋" w:cs="仿宋"/>
          <w:color w:val="000000"/>
          <w:sz w:val="24"/>
          <w:szCs w:val="24"/>
          <w:highlight w:val="none"/>
          <w:u w:val="single"/>
        </w:rPr>
        <w:t xml:space="preserve">按照通用条款执行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（1）单机无负荷试车费用由</w:t>
      </w:r>
      <w:r>
        <w:rPr>
          <w:rFonts w:hint="eastAsia" w:ascii="仿宋" w:hAnsi="仿宋" w:eastAsia="仿宋" w:cs="仿宋"/>
          <w:color w:val="000000"/>
          <w:sz w:val="24"/>
          <w:szCs w:val="24"/>
          <w:highlight w:val="none"/>
          <w:u w:val="single"/>
        </w:rPr>
        <w:t xml:space="preserve">承包人</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（2）无负荷联动试车费用由</w:t>
      </w:r>
      <w:r>
        <w:rPr>
          <w:rFonts w:hint="eastAsia" w:ascii="仿宋" w:hAnsi="仿宋" w:eastAsia="仿宋" w:cs="仿宋"/>
          <w:color w:val="000000"/>
          <w:sz w:val="24"/>
          <w:szCs w:val="24"/>
          <w:highlight w:val="none"/>
          <w:u w:val="single"/>
        </w:rPr>
        <w:t xml:space="preserve">承包人</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13.3.3 投料试车</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关于投料试车相关事项的约定：</w:t>
      </w:r>
      <w:r>
        <w:rPr>
          <w:rFonts w:hint="eastAsia" w:ascii="仿宋" w:hAnsi="仿宋" w:eastAsia="仿宋" w:cs="仿宋"/>
          <w:color w:val="000000"/>
          <w:sz w:val="24"/>
          <w:szCs w:val="24"/>
          <w:highlight w:val="none"/>
          <w:u w:val="single"/>
        </w:rPr>
        <w:t xml:space="preserve"> 产生的相关费用由承包人承担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13.6 竣工退场</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13.6.1 竣工退场</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承包人完成竣工退场的期限：</w:t>
      </w:r>
      <w:r>
        <w:rPr>
          <w:rFonts w:hint="eastAsia" w:ascii="仿宋" w:hAnsi="仿宋" w:eastAsia="仿宋" w:cs="仿宋"/>
          <w:color w:val="000000"/>
          <w:sz w:val="24"/>
          <w:szCs w:val="24"/>
          <w:highlight w:val="none"/>
          <w:u w:val="single"/>
        </w:rPr>
        <w:t xml:space="preserve">竣工验收合格后30日内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673" w:name="_Toc351203646"/>
      <w:r>
        <w:rPr>
          <w:rFonts w:hint="eastAsia" w:ascii="仿宋" w:hAnsi="仿宋" w:eastAsia="仿宋" w:cs="仿宋"/>
          <w:b w:val="0"/>
          <w:color w:val="000000"/>
          <w:sz w:val="24"/>
          <w:szCs w:val="24"/>
          <w:highlight w:val="none"/>
        </w:rPr>
        <w:t xml:space="preserve">14. 竣工结算</w:t>
      </w:r>
      <w:bookmarkEnd w:id="673"/>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竣工付款申请</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承包人提交竣工付款申请单的期限：</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竣工付款申请单应包括的内容：</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竣工结算审核</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发包人审批竣工付款申请单的期限：</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发包人完成竣工付款的期限：</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关于竣工付款证书异议部分复核的方式和程序：</w:t>
      </w:r>
      <w:r>
        <w:rPr>
          <w:rFonts w:hint="eastAsia" w:ascii="仿宋" w:hAnsi="仿宋" w:eastAsia="仿宋" w:cs="仿宋"/>
          <w:color w:val="000000"/>
          <w:sz w:val="24"/>
          <w:szCs w:val="24"/>
          <w:highlight w:val="none"/>
          <w:u w:val="single"/>
        </w:rPr>
        <w:t xml:space="preserve">1、承包人对发包人颁发的最终结清证书有异议的，按通用条款第20条〔争议解决〕的约定办理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 最终结清</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14.4.1 最终结清申请单</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承包人提交最终结清申请单的份数：</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承包人提交最终结算申请单的期限：</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14.4.2 最终结清证书和支付</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（1）发包人完成最终结清申请单的审批并颁发最终结清证书的期限：</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（2）发包人完成支付的期限：</w:t>
      </w:r>
      <w:r>
        <w:rPr>
          <w:rFonts w:hint="eastAsia" w:ascii="仿宋" w:hAnsi="仿宋" w:eastAsia="仿宋" w:cs="仿宋"/>
          <w:color w:val="000000"/>
          <w:sz w:val="24"/>
          <w:szCs w:val="24"/>
          <w:highlight w:val="none"/>
          <w:u w:val="single"/>
        </w:rPr>
        <w:t xml:space="preserve">按照发包人的要求</w:t>
      </w:r>
      <w:r>
        <w:rPr>
          <w:rFonts w:hint="eastAsia" w:ascii="仿宋" w:hAnsi="仿宋" w:eastAsia="仿宋" w:cs="仿宋"/>
          <w:color w:val="000000"/>
          <w:sz w:val="24"/>
          <w:szCs w:val="24"/>
          <w:highlight w:val="none"/>
        </w:rPr>
        <w:t xml:space="preserve">。</w:t>
      </w:r>
      <w:bookmarkEnd w:id="627"/>
      <w:r/>
      <w:bookmarkEnd w:id="628"/>
      <w:r/>
      <w:bookmarkEnd w:id="629"/>
      <w:r/>
      <w:bookmarkEnd w:id="630"/>
      <w:r/>
      <w:bookmarkEnd w:id="631"/>
      <w:r/>
      <w:bookmarkEnd w:id="632"/>
      <w:r/>
      <w:bookmarkEnd w:id="633"/>
      <w:r/>
      <w:bookmarkEnd w:id="634"/>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674" w:name="_Toc267251486"/>
      <w:r/>
      <w:bookmarkStart w:id="675" w:name="_Toc267251488"/>
      <w:r/>
      <w:bookmarkStart w:id="676" w:name="_Toc267251490"/>
      <w:r/>
      <w:bookmarkStart w:id="677" w:name="_Toc267251489"/>
      <w:r/>
      <w:bookmarkStart w:id="678" w:name="_Toc267251503"/>
      <w:r/>
      <w:bookmarkStart w:id="679" w:name="_Toc267251494"/>
      <w:r/>
      <w:bookmarkStart w:id="680" w:name="_Toc267251493"/>
      <w:r/>
      <w:bookmarkStart w:id="681" w:name="_Toc267251491"/>
      <w:r/>
      <w:bookmarkStart w:id="682" w:name="_Toc267251497"/>
      <w:r/>
      <w:bookmarkStart w:id="683" w:name="_Toc267251501"/>
      <w:r/>
      <w:bookmarkStart w:id="684" w:name="_Toc267251492"/>
      <w:r/>
      <w:bookmarkStart w:id="685" w:name="_Toc267251502"/>
      <w:r/>
      <w:bookmarkStart w:id="686" w:name="_Toc267251498"/>
      <w:r/>
      <w:bookmarkStart w:id="687" w:name="_Toc267251496"/>
      <w:r/>
      <w:bookmarkStart w:id="688" w:name="_Toc267251495"/>
      <w:r/>
      <w:bookmarkStart w:id="689" w:name="_Toc267251504"/>
      <w:r/>
      <w:bookmarkStart w:id="690" w:name="_Toc267251506"/>
      <w:r/>
      <w:bookmarkStart w:id="691" w:name="_Toc267251507"/>
      <w:r/>
      <w:bookmarkStart w:id="692" w:name="_Toc267251508"/>
      <w:r/>
      <w:bookmarkStart w:id="693" w:name="_Toc267251499"/>
      <w:r/>
      <w:bookmarkStart w:id="694" w:name="_Toc351203647"/>
      <w:r/>
      <w:bookmarkStart w:id="695" w:name="_Toc267251483"/>
      <w:r/>
      <w:bookmarkStart w:id="696" w:name="_Toc267251482"/>
      <w:r/>
      <w:bookmarkStart w:id="697" w:name="_Toc267251484"/>
      <w:r/>
      <w:bookmarkStart w:id="698" w:name="_Toc267251485"/>
      <w:r>
        <w:rPr>
          <w:rFonts w:hint="eastAsia" w:ascii="仿宋" w:hAnsi="仿宋" w:eastAsia="仿宋" w:cs="仿宋"/>
          <w:b w:val="0"/>
          <w:color w:val="000000"/>
          <w:sz w:val="24"/>
          <w:szCs w:val="24"/>
          <w:highlight w:val="none"/>
        </w:rPr>
        <w:t xml:space="preserve">15. 缺陷责任期与保修</w:t>
      </w:r>
      <w:bookmarkEnd w:id="694"/>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15.2缺陷责任期</w:t>
      </w:r>
      <w:bookmarkEnd w:id="695"/>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缺陷责任期的具体期限：</w:t>
      </w:r>
      <w:r>
        <w:rPr>
          <w:rFonts w:hint="eastAsia" w:ascii="仿宋" w:hAnsi="仿宋" w:eastAsia="仿宋" w:cs="仿宋"/>
          <w:color w:val="000000"/>
          <w:sz w:val="24"/>
          <w:szCs w:val="24"/>
          <w:highlight w:val="none"/>
          <w:u w:val="single"/>
        </w:rPr>
        <w:t xml:space="preserve">自竣工验收合格之日起满两年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质量保证金</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是否扣留质量保证金的约定：支付至审计价100%时，承包人须提前5个工作日按发包人要求将工程项目最终结算价的3%的款项汇入发包人指定账户作为项目质保金，逾期汇入项目质保金的，发包人有权相应顺延付款日期且无需承担违约责任。。</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15.3.1 承包人提供质量保证金的方式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质量保证金采用以下第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（1）质量保证金保函，保证金额为：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%的工程款；</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方式:支付至审计价100%时，承包人须提前5个工作日按发包人要求将工程项目最终结算价的3%的款项汇入发包人指定账户作为项目质保金，逾期汇入项目质保金的，发包人有权相应顺延付款日期且无需承担违约责任。</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15.3.2 质量保证金的扣留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质量保证金的扣留采取以下第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（1）在支付工程进度款时逐次扣留，在此情形下，质量保证金的计算基数不包括预付款的支付、扣回以及价格调整的金额；</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（2）工程竣工结算时一次性扣留质量保证金；</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扣留方式:支付至审计价100%时，承包人须提前5个工作日按发包人要求将工程项目最终结算价的3%的款项汇入发包人指定账户作为项目质保金，逾期汇入项目质保金的，发包人有权相应顺延付款日期且无需承担违约责任。</w:t>
      </w:r>
      <w:r>
        <w:rPr>
          <w:rFonts w:hint="eastAsia" w:ascii="仿宋" w:hAnsi="仿宋" w:eastAsia="仿宋" w:cs="仿宋"/>
          <w:color w:val="000000"/>
          <w:sz w:val="24"/>
          <w:szCs w:val="24"/>
          <w:highlight w:val="none"/>
        </w:rPr>
      </w:r>
      <w:r/>
    </w:p>
    <w:p>
      <w:pPr>
        <w:pStyle w:val="906"/>
        <w:jc w:val="left"/>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关于质量保证金的补充约定：</w:t>
      </w:r>
      <w:r>
        <w:rPr>
          <w:rFonts w:hint="eastAsia" w:ascii="仿宋" w:hAnsi="仿宋" w:eastAsia="仿宋" w:cs="仿宋"/>
          <w:bCs/>
          <w:color w:val="000000"/>
          <w:sz w:val="24"/>
          <w:szCs w:val="24"/>
          <w:highlight w:val="none"/>
          <w:u w:val="single"/>
        </w:rPr>
        <w:t xml:space="preserve">工程质保期起算两年后无质量问题，承包人提出书面申请，发包人在接到书面申请十个工作日内无息返还承包人3%质量保证金。</w:t>
      </w:r>
      <w:r>
        <w:rPr>
          <w:rFonts w:hint="eastAsia" w:ascii="仿宋" w:hAnsi="仿宋" w:eastAsia="仿宋" w:cs="仿宋"/>
          <w:bCs/>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End w:id="696"/>
      <w:r/>
      <w:bookmarkEnd w:id="697"/>
      <w:r>
        <w:rPr>
          <w:rFonts w:hint="eastAsia" w:ascii="仿宋" w:hAnsi="仿宋" w:eastAsia="仿宋" w:cs="仿宋"/>
          <w:color w:val="000000"/>
          <w:sz w:val="24"/>
          <w:szCs w:val="24"/>
          <w:highlight w:val="none"/>
        </w:rPr>
        <w:t xml:space="preserve">15.4保修</w:t>
      </w:r>
      <w:bookmarkEnd w:id="698"/>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15.4.1 保修责任</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工程保修期为：</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1、主体工程为设计使用年限；</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2、防水工程保修期限为5年。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3、其他项目保修期限为 2年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15.4.3 修复通知</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承包人收到保修通知并到达工程现场的合理时间：</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1、承包人应当在接到保修通知后8个小时响应，24小时内到达现场，48小时内组织修复。承包人不在约定期限内派人保修的，发包人可以委托他人修理,由此产生保修费在加收5%的保管费后从质量保修金内扣除。</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2、在质保期满后，如发生损坏等质量问题时，承包人仍需做好售后服务工作，并在上述时限内赶到现场，及时处理解决。承包人可收取相应的材料及服务的费用。</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3．在国家规定的工程合理使用期限内，承包人应确保主体结构的质量。因承包人原因致使工程在合理使用期限内造成人身和财产损害的，承包人应承担损害赔偿责任</w:t>
      </w:r>
      <w:r>
        <w:rPr>
          <w:rFonts w:hint="eastAsia" w:ascii="仿宋" w:hAnsi="仿宋" w:eastAsia="仿宋" w:cs="仿宋"/>
          <w:color w:val="000000"/>
          <w:sz w:val="24"/>
          <w:szCs w:val="24"/>
          <w:highlight w:val="none"/>
        </w:rPr>
        <w:t xml:space="preserve">。</w:t>
      </w:r>
      <w:bookmarkEnd w:id="674"/>
      <w:r/>
      <w:bookmarkEnd w:id="675"/>
      <w:r/>
      <w:bookmarkEnd w:id="676"/>
      <w:r/>
      <w:bookmarkEnd w:id="677"/>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699" w:name="_Toc351203648"/>
      <w:r/>
      <w:bookmarkStart w:id="700" w:name="_Toc280868718"/>
      <w:r/>
      <w:bookmarkStart w:id="701" w:name="_Toc280868717"/>
      <w:r>
        <w:rPr>
          <w:rFonts w:hint="eastAsia" w:ascii="仿宋" w:hAnsi="仿宋" w:eastAsia="仿宋" w:cs="仿宋"/>
          <w:b w:val="0"/>
          <w:color w:val="000000"/>
          <w:sz w:val="24"/>
          <w:szCs w:val="24"/>
          <w:highlight w:val="none"/>
        </w:rPr>
        <w:t xml:space="preserve">16. 违约</w:t>
      </w:r>
      <w:bookmarkEnd w:id="699"/>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发包人违约</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16.1.1发包人违约的情形</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发包人违约的其他情形：</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16.1.2 发包人违约的责任</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发包人违约责任的承担方式和计算方法：</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（1）因发包人原因未能在计划开工日期前7天内下达开工通知的违约责任：</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（2）因发包人原因未能按合同约定支付合同价款的违约责任：</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（5）因发包人违反合同约定造成暂停施工的违约责任：</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（6）发包人无正当理由没有在约定期限内发出复工指示，导致承包人无法复工的违约责任：</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16.1.3 因发包人违约解除合同</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承包人按16.1.1项〔发包人违约的情形〕约定暂停施工满</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天后发包人仍不纠正其违约行为并致使合同目的不能实现的，承包人有权解除合同。</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 承包人违约</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16.2.1 承包人违约的情形</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承包人违约的其他情形：</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16.2.2承包人违约的责任</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承包人违约责任的承担方式和计算方法：</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16.2.3 因承包人违约解除合同</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关于承包人违约解除合同的特别约定：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szCs w:val="24"/>
          <w:highlight w:val="none"/>
          <w:u w:val="single"/>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702" w:name="_Toc351203649"/>
      <w:r>
        <w:rPr>
          <w:rFonts w:hint="eastAsia" w:ascii="仿宋" w:hAnsi="仿宋" w:eastAsia="仿宋" w:cs="仿宋"/>
          <w:b w:val="0"/>
          <w:color w:val="000000"/>
          <w:sz w:val="24"/>
          <w:szCs w:val="24"/>
          <w:highlight w:val="none"/>
        </w:rPr>
        <w:t xml:space="preserve">17. 不可抗力</w:t>
      </w:r>
      <w:bookmarkEnd w:id="702"/>
      <w:r>
        <w:rPr>
          <w:rFonts w:hint="eastAsia" w:ascii="仿宋" w:hAnsi="仿宋" w:eastAsia="仿宋" w:cs="仿宋"/>
          <w:b w:val="0"/>
          <w:color w:val="000000"/>
          <w:sz w:val="24"/>
          <w:szCs w:val="24"/>
          <w:highlight w:val="none"/>
        </w:rPr>
        <w:t xml:space="preserve"> </w:t>
      </w:r>
      <w:bookmarkEnd w:id="701"/>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不可抗力的确认</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除通用合同条款约定的不可抗力事件之外，视为不可抗力的其他情形： </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 因不可抗力解除合同</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合同解除后，发包人应在商定或确定发包人应支付款项后</w:t>
      </w:r>
      <w:r>
        <w:rPr>
          <w:rFonts w:hint="eastAsia" w:ascii="仿宋" w:hAnsi="仿宋" w:eastAsia="仿宋" w:cs="仿宋"/>
          <w:color w:val="000000"/>
          <w:sz w:val="24"/>
          <w:szCs w:val="24"/>
          <w:highlight w:val="none"/>
          <w:u w:val="single"/>
        </w:rPr>
        <w:t xml:space="preserve">30</w:t>
      </w:r>
      <w:r>
        <w:rPr>
          <w:rFonts w:hint="eastAsia" w:ascii="仿宋" w:hAnsi="仿宋" w:eastAsia="仿宋" w:cs="仿宋"/>
          <w:color w:val="000000"/>
          <w:sz w:val="24"/>
          <w:szCs w:val="24"/>
          <w:highlight w:val="none"/>
        </w:rPr>
        <w:t xml:space="preserve">天内完成款项的支付。</w:t>
      </w:r>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703" w:name="_Toc351203650"/>
      <w:r>
        <w:rPr>
          <w:rFonts w:hint="eastAsia" w:ascii="仿宋" w:hAnsi="仿宋" w:eastAsia="仿宋" w:cs="仿宋"/>
          <w:b w:val="0"/>
          <w:color w:val="000000"/>
          <w:sz w:val="24"/>
          <w:szCs w:val="24"/>
          <w:highlight w:val="none"/>
        </w:rPr>
        <w:t xml:space="preserve">18. 保险</w:t>
      </w:r>
      <w:bookmarkEnd w:id="700"/>
      <w:r/>
      <w:bookmarkEnd w:id="703"/>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工程保险</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关于工程保险的特别约定：</w:t>
      </w:r>
      <w:r>
        <w:rPr>
          <w:rFonts w:hint="eastAsia" w:ascii="仿宋" w:hAnsi="仿宋" w:eastAsia="仿宋" w:cs="仿宋"/>
          <w:color w:val="000000"/>
          <w:sz w:val="24"/>
          <w:szCs w:val="24"/>
          <w:highlight w:val="none"/>
          <w:u w:val="single"/>
        </w:rPr>
        <w:t xml:space="preserve">承包人应依法对其应投保的人身、财产（包括但不限于对本工程施工作业人员的生命财产和施工机械设备）办理保险，并支付保险费用。发包人对任何参加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发包人免负任何有关的索偿要求、诉讼责任及其费用的支出，费用含在合同总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其他保险</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关于其他保险的约定：</w:t>
      </w:r>
      <w:r>
        <w:rPr>
          <w:rFonts w:hint="eastAsia" w:ascii="仿宋" w:hAnsi="仿宋" w:eastAsia="仿宋" w:cs="仿宋"/>
          <w:color w:val="000000"/>
          <w:sz w:val="24"/>
          <w:szCs w:val="24"/>
          <w:highlight w:val="none"/>
          <w:u w:val="single"/>
        </w:rPr>
        <w:t xml:space="preserve">承包人须为本工程投保建筑工程一切险和职工工伤保险，费用含在合同总价中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承包人是否应为其施工设备等办理财产保险：</w:t>
      </w:r>
      <w:r>
        <w:rPr>
          <w:rFonts w:hint="eastAsia" w:ascii="仿宋" w:hAnsi="仿宋" w:eastAsia="仿宋" w:cs="仿宋"/>
          <w:color w:val="000000"/>
          <w:sz w:val="24"/>
          <w:szCs w:val="24"/>
          <w:highlight w:val="none"/>
          <w:u w:val="single"/>
        </w:rPr>
        <w:t xml:space="preserve">按发包人要求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18.7 通知义务</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关于变更保险合同时的通知义务的约定：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678"/>
      <w:r/>
      <w:bookmarkEnd w:id="679"/>
      <w:r/>
      <w:bookmarkEnd w:id="680"/>
      <w:r/>
      <w:bookmarkEnd w:id="681"/>
      <w:r/>
      <w:bookmarkEnd w:id="682"/>
      <w:r/>
      <w:bookmarkEnd w:id="683"/>
      <w:r/>
      <w:bookmarkEnd w:id="684"/>
      <w:r/>
      <w:bookmarkEnd w:id="685"/>
      <w:r/>
      <w:bookmarkEnd w:id="686"/>
      <w:r/>
      <w:bookmarkEnd w:id="687"/>
      <w:r/>
      <w:bookmarkEnd w:id="688"/>
      <w:r/>
      <w:bookmarkEnd w:id="693"/>
      <w:r>
        <w:rPr>
          <w:rFonts w:hint="eastAsia" w:ascii="仿宋" w:hAnsi="仿宋" w:eastAsia="仿宋" w:cs="仿宋"/>
          <w:color w:val="000000"/>
          <w:sz w:val="24"/>
          <w:szCs w:val="24"/>
          <w:highlight w:val="none"/>
        </w:rPr>
      </w:r>
      <w:r/>
    </w:p>
    <w:p>
      <w:pPr>
        <w:pStyle w:val="910"/>
        <w:jc w:val="left"/>
        <w:spacing w:line="360" w:lineRule="auto"/>
        <w:rPr>
          <w:rFonts w:hint="eastAsia" w:ascii="仿宋" w:hAnsi="仿宋" w:eastAsia="仿宋" w:cs="仿宋"/>
          <w:b w:val="0"/>
          <w:color w:val="000000"/>
          <w:sz w:val="24"/>
          <w:szCs w:val="24"/>
          <w:highlight w:val="none"/>
        </w:rPr>
      </w:pPr>
      <w:r/>
      <w:bookmarkStart w:id="704" w:name="_Toc351203651"/>
      <w:r>
        <w:rPr>
          <w:rFonts w:hint="eastAsia" w:ascii="仿宋" w:hAnsi="仿宋" w:eastAsia="仿宋" w:cs="仿宋"/>
          <w:b w:val="0"/>
          <w:color w:val="000000"/>
          <w:sz w:val="24"/>
          <w:szCs w:val="24"/>
          <w:highlight w:val="none"/>
        </w:rPr>
        <w:t xml:space="preserve">20. 争议解决</w:t>
      </w:r>
      <w:bookmarkEnd w:id="689"/>
      <w:r/>
      <w:bookmarkEnd w:id="690"/>
      <w:r/>
      <w:bookmarkEnd w:id="704"/>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争</w:t>
      </w:r>
      <w:bookmarkEnd w:id="691"/>
      <w:r>
        <w:rPr>
          <w:rFonts w:hint="eastAsia" w:ascii="仿宋" w:hAnsi="仿宋" w:eastAsia="仿宋" w:cs="仿宋"/>
          <w:color w:val="000000"/>
          <w:sz w:val="24"/>
          <w:szCs w:val="24"/>
          <w:highlight w:val="none"/>
        </w:rPr>
        <w:t xml:space="preserve">议评审</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合同当事人是否同意将工程争议提交争议评审小组决定：</w:t>
      </w:r>
      <w:r>
        <w:rPr>
          <w:rFonts w:hint="eastAsia" w:ascii="仿宋" w:hAnsi="仿宋" w:eastAsia="仿宋" w:cs="仿宋"/>
          <w:color w:val="000000"/>
          <w:sz w:val="24"/>
          <w:szCs w:val="24"/>
          <w:highlight w:val="none"/>
          <w:u w:val="single"/>
        </w:rPr>
        <w:t xml:space="preserve">不提交</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20.3.1 争议评审小组的确定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争议评审小组成员的确定：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选定争议评审员的期限：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争议评审小组成员的报酬承担方式：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其他事项的约定：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20.3.2 争议评审小组的决定</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合同当事人关于本项的约定：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20.4仲裁或诉讼</w:t>
      </w:r>
      <w:bookmarkEnd w:id="692"/>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因合同及合同有关事项发生的争议，按下列第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种方式解决：</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（1）向</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仲裁委员会申请仲裁；</w:t>
      </w:r>
      <w:r>
        <w:rPr>
          <w:rFonts w:hint="eastAsia" w:ascii="仿宋" w:hAnsi="仿宋" w:eastAsia="仿宋" w:cs="仿宋"/>
          <w:color w:val="000000"/>
          <w:sz w:val="24"/>
          <w:szCs w:val="24"/>
          <w:highlight w:val="none"/>
        </w:rPr>
      </w:r>
      <w:r/>
    </w:p>
    <w:p>
      <w:pPr>
        <w:pStyle w:val="910"/>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（2）向 </w:t>
      </w:r>
      <w:r>
        <w:rPr>
          <w:rFonts w:hint="eastAsia" w:ascii="仿宋" w:hAnsi="仿宋" w:eastAsia="仿宋" w:cs="仿宋"/>
          <w:b w:val="0"/>
          <w:color w:val="000000"/>
          <w:sz w:val="24"/>
          <w:szCs w:val="24"/>
          <w:highlight w:val="none"/>
          <w:u w:val="single"/>
        </w:rPr>
        <w:t xml:space="preserve">工程所在地 </w:t>
      </w:r>
      <w:r>
        <w:rPr>
          <w:rFonts w:hint="eastAsia" w:ascii="仿宋" w:hAnsi="仿宋" w:eastAsia="仿宋" w:cs="仿宋"/>
          <w:b w:val="0"/>
          <w:color w:val="000000"/>
          <w:sz w:val="24"/>
          <w:szCs w:val="24"/>
          <w:highlight w:val="none"/>
        </w:rPr>
        <w:t xml:space="preserve">人民法院起诉。</w:t>
      </w:r>
      <w:r>
        <w:rPr>
          <w:rFonts w:hint="eastAsia" w:ascii="仿宋" w:hAnsi="仿宋" w:eastAsia="仿宋" w:cs="仿宋"/>
          <w:b w:val="0"/>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21、补充条款：双方另行商议。</w:t>
      </w:r>
      <w:r>
        <w:rPr>
          <w:rFonts w:hint="eastAsia" w:ascii="仿宋" w:hAnsi="仿宋" w:eastAsia="仿宋" w:cs="仿宋"/>
          <w:color w:val="000000"/>
          <w:sz w:val="24"/>
          <w:szCs w:val="24"/>
          <w:highlight w:val="none"/>
        </w:rPr>
      </w:r>
      <w:r/>
    </w:p>
    <w:p>
      <w:pPr>
        <w:pStyle w:val="906"/>
        <w:ind w:firstLine="420"/>
        <w:spacing w:before="100" w:after="100" w:line="28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bookmarkStart w:id="705" w:name="_Toc351203652"/>
      <w:r>
        <w:rPr>
          <w:rFonts w:hint="eastAsia" w:ascii="仿宋" w:hAnsi="仿宋" w:eastAsia="仿宋" w:cs="仿宋"/>
          <w:b/>
          <w:color w:val="000000"/>
          <w:sz w:val="24"/>
          <w:szCs w:val="24"/>
          <w:highlight w:val="none"/>
        </w:rPr>
        <w:t xml:space="preserve">附件</w:t>
      </w:r>
      <w:bookmarkEnd w:id="705"/>
      <w:r>
        <w:rPr>
          <w:rFonts w:hint="eastAsia" w:ascii="仿宋" w:hAnsi="仿宋" w:eastAsia="仿宋" w:cs="仿宋"/>
          <w:b/>
          <w:color w:val="000000"/>
          <w:sz w:val="24"/>
          <w:szCs w:val="24"/>
          <w:highlight w:val="none"/>
        </w:rPr>
      </w:r>
      <w:r/>
    </w:p>
    <w:p>
      <w:pPr>
        <w:pStyle w:val="906"/>
        <w:ind w:firstLine="422"/>
        <w:spacing w:before="100" w:after="100" w:line="2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ind w:firstLine="420"/>
        <w:spacing w:before="100" w:after="100"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合同协议书附件：</w:t>
      </w:r>
      <w:r>
        <w:rPr>
          <w:rFonts w:hint="eastAsia" w:ascii="仿宋" w:hAnsi="仿宋" w:eastAsia="仿宋" w:cs="仿宋"/>
          <w:color w:val="000000"/>
          <w:sz w:val="24"/>
          <w:szCs w:val="24"/>
          <w:highlight w:val="none"/>
        </w:rPr>
      </w:r>
      <w:r/>
    </w:p>
    <w:p>
      <w:pPr>
        <w:pStyle w:val="906"/>
        <w:ind w:firstLine="420"/>
        <w:spacing w:before="100" w:after="100"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附件1：工程质量保修书</w:t>
      </w:r>
      <w:r>
        <w:rPr>
          <w:rFonts w:hint="eastAsia" w:ascii="仿宋" w:hAnsi="仿宋" w:eastAsia="仿宋" w:cs="仿宋"/>
          <w:color w:val="000000"/>
          <w:sz w:val="24"/>
          <w:szCs w:val="24"/>
          <w:highlight w:val="none"/>
        </w:rPr>
      </w:r>
      <w:r/>
    </w:p>
    <w:p>
      <w:pPr>
        <w:pStyle w:val="906"/>
        <w:ind w:firstLine="420"/>
        <w:spacing w:before="100" w:after="100"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附件2：不拖欠民工工资承诺函</w:t>
      </w:r>
      <w:r>
        <w:rPr>
          <w:rFonts w:hint="eastAsia" w:ascii="仿宋" w:hAnsi="仿宋" w:eastAsia="仿宋" w:cs="仿宋"/>
          <w:color w:val="000000"/>
          <w:sz w:val="24"/>
          <w:szCs w:val="24"/>
          <w:highlight w:val="none"/>
        </w:rPr>
      </w:r>
      <w:r/>
    </w:p>
    <w:p>
      <w:pPr>
        <w:pStyle w:val="906"/>
        <w:ind w:firstLine="420"/>
        <w:spacing w:before="100" w:after="100"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附件3：安全生产承诺书</w:t>
      </w:r>
      <w:r>
        <w:rPr>
          <w:rFonts w:hint="eastAsia" w:ascii="仿宋" w:hAnsi="仿宋" w:eastAsia="仿宋" w:cs="仿宋"/>
          <w:color w:val="000000"/>
          <w:sz w:val="24"/>
          <w:szCs w:val="24"/>
          <w:highlight w:val="none"/>
        </w:rPr>
      </w:r>
      <w:r/>
    </w:p>
    <w:p>
      <w:pPr>
        <w:pStyle w:val="906"/>
        <w:ind w:firstLine="420"/>
        <w:spacing w:before="100" w:after="100"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附件4：廉政责任书</w:t>
      </w:r>
      <w:r>
        <w:rPr>
          <w:rFonts w:hint="eastAsia" w:ascii="仿宋" w:hAnsi="仿宋" w:eastAsia="仿宋" w:cs="仿宋"/>
          <w:color w:val="000000"/>
          <w:sz w:val="24"/>
          <w:szCs w:val="24"/>
          <w:highlight w:val="none"/>
        </w:rPr>
      </w:r>
      <w:r/>
    </w:p>
    <w:p>
      <w:pPr>
        <w:pStyle w:val="906"/>
        <w:jc w:val="left"/>
        <w:spacing w:line="360" w:lineRule="auto"/>
        <w:rPr>
          <w:rFonts w:hint="eastAsia" w:ascii="仿宋" w:hAnsi="仿宋" w:eastAsia="仿宋" w:cs="仿宋"/>
          <w:color w:val="000000"/>
          <w:sz w:val="24"/>
          <w:szCs w:val="24"/>
          <w:highlight w:val="none"/>
        </w:rPr>
        <w:sectPr>
          <w:headerReference w:type="default" r:id="rId10"/>
          <w:headerReference w:type="first" r:id="rId11"/>
          <w:footerReference w:type="default" r:id="rId17"/>
          <w:footerReference w:type="first" r:id="rId18"/>
          <w:footnotePr/>
          <w:endnotePr/>
          <w:type w:val="nextPage"/>
          <w:pgSz w:w="11906" w:h="16838" w:orient="portrait"/>
          <w:pgMar w:top="2098" w:right="1587" w:bottom="1701" w:left="1587" w:header="851" w:footer="992" w:gutter="0"/>
          <w:cols w:num="1" w:sep="0" w:space="1701" w:equalWidth="1"/>
          <w:docGrid w:linePitch="360"/>
          <w:titlePg/>
        </w:sect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附</w:t>
      </w:r>
      <w:bookmarkStart w:id="706" w:name="_Toc296347225"/>
      <w:r/>
      <w:bookmarkStart w:id="707" w:name="_Toc296891266"/>
      <w:r/>
      <w:bookmarkStart w:id="708" w:name="_Toc296503226"/>
      <w:r/>
      <w:bookmarkStart w:id="709" w:name="_Toc267261693"/>
      <w:r/>
      <w:bookmarkStart w:id="710" w:name="_Toc296944565"/>
      <w:r/>
      <w:bookmarkStart w:id="711" w:name="_Toc296891054"/>
      <w:r/>
      <w:bookmarkStart w:id="712" w:name="_Toc296346727"/>
      <w:r>
        <w:rPr>
          <w:rFonts w:hint="eastAsia" w:ascii="仿宋" w:hAnsi="仿宋" w:eastAsia="仿宋" w:cs="仿宋"/>
          <w:b/>
          <w:color w:val="000000"/>
          <w:sz w:val="24"/>
          <w:szCs w:val="24"/>
          <w:highlight w:val="none"/>
        </w:rPr>
        <w:t xml:space="preserve">件1：</w:t>
      </w:r>
      <w:bookmarkEnd w:id="706"/>
      <w:r/>
      <w:bookmarkEnd w:id="707"/>
      <w:r/>
      <w:bookmarkEnd w:id="708"/>
      <w:r/>
      <w:bookmarkEnd w:id="709"/>
      <w:r/>
      <w:bookmarkEnd w:id="710"/>
      <w:r/>
      <w:bookmarkEnd w:id="711"/>
      <w:r/>
      <w:bookmarkEnd w:id="712"/>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jc w:val="center"/>
        <w:spacing w:before="156" w:after="156"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发包人（全称）：                                 </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承包人（全称）：                                 </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发包人和承包人根据《中华人民共和国建筑法》和《建设工程质量管理条例》，经协商一致就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工程全称）签订工程质量保修书。</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一、工程质量保修范围和内容</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承包人在质量保修期内，按照有关法律规定和合同约定，承担工程质量保修责任。</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szCs w:val="24"/>
          <w:highlight w:val="none"/>
          <w:u w:val="single"/>
        </w:rPr>
        <w:t xml:space="preserve">施工范围内所有内容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二、质量保修期</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根据《建设工程质量管理条例》及有关规定，工程的质量保修期如下：</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1．地基基础工程和主体结构工程为设计文件规定的工程合理使用年限；</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2．屋面防水工程、有防水要求的卫生间、房间和外墙面的防渗为5年；</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3．装修工程为2年；</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4．电气管线、给排水管道、设备安装工程为2年；</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5．供热与供冷系统为 2个采暖期、供冷期；</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6．其他项目保修期限约定如下：</w:t>
      </w:r>
      <w:r>
        <w:rPr>
          <w:rFonts w:hint="eastAsia" w:ascii="仿宋" w:hAnsi="仿宋" w:eastAsia="仿宋" w:cs="仿宋"/>
          <w:color w:val="000000"/>
          <w:sz w:val="24"/>
          <w:szCs w:val="24"/>
          <w:highlight w:val="none"/>
          <w:u w:val="single"/>
        </w:rPr>
        <w:t xml:space="preserve">按国家现行规定</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质量保修期自工程竣工验收合格之日起计算。</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三、缺陷责任期</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 </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缺陷责任期终止后，发包人应退还剩余的质量保证金。</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四、质量保修责任</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1．属于保修范围、内容的项目，承包人应当在接到保修通知之日起24小时内派人保修。承包人不在约定期限内派人保修的，发包人可以委托他人修理。</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2．发生紧急事故需抢修的，承包人在接到事故通知后，应当立即到达事故现场抢修。</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4．质量保修完成后，由发包人组织验收。</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五、保修费用</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保修费用由造成质量缺陷的责任方承担。</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六、双方约定的其他工程质量保修事项：</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工程质量保修书由发包人、承包人在工程竣工验收前共同签署，作为施工合同附件，其有效期限至保修期满。</w:t>
      </w:r>
      <w:r>
        <w:rPr>
          <w:rFonts w:hint="eastAsia" w:ascii="仿宋" w:hAnsi="仿宋" w:eastAsia="仿宋" w:cs="仿宋"/>
          <w:color w:val="000000"/>
          <w:sz w:val="24"/>
          <w:szCs w:val="24"/>
          <w:highlight w:val="none"/>
        </w:rPr>
      </w:r>
      <w:r/>
    </w:p>
    <w:p>
      <w:pPr>
        <w:pStyle w:val="906"/>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w:t>
      </w:r>
      <w:r>
        <w:rPr>
          <w:rFonts w:hint="eastAsia" w:ascii="仿宋" w:hAnsi="仿宋" w:eastAsia="仿宋" w:cs="仿宋"/>
          <w:color w:val="000000"/>
          <w:sz w:val="24"/>
          <w:szCs w:val="24"/>
          <w:highlight w:val="none"/>
          <w:u w:val="single"/>
        </w:rPr>
        <w:t xml:space="preserve">        </w:t>
      </w:r>
      <w:r>
        <w:rPr>
          <w:rFonts w:hint="eastAsia" w:ascii="仿宋" w:hAnsi="仿宋" w:eastAsia="仿宋" w:cs="仿宋"/>
          <w:color w:val="000000"/>
          <w:sz w:val="24"/>
          <w:szCs w:val="24"/>
          <w:highlight w:val="none"/>
        </w:rPr>
        <w:t xml:space="preserve"> 承包人(公章)：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法定代表人(签字)：</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委托代理人(签字)：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委托代理人(签字)：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  话：</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账 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邮政编码：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附件2：</w:t>
      </w:r>
      <w:r>
        <w:rPr>
          <w:rFonts w:hint="eastAsia" w:ascii="仿宋" w:hAnsi="仿宋" w:eastAsia="仿宋" w:cs="仿宋"/>
          <w:b/>
          <w:color w:val="000000"/>
          <w:sz w:val="24"/>
          <w:szCs w:val="24"/>
          <w:highlight w:val="none"/>
        </w:rPr>
      </w:r>
      <w:r/>
    </w:p>
    <w:p>
      <w:pPr>
        <w:pStyle w:val="906"/>
        <w:jc w:val="center"/>
        <w:spacing w:line="360" w:lineRule="auto"/>
        <w:tabs>
          <w:tab w:val="left" w:pos="3652" w:leader="none"/>
          <w:tab w:val="center" w:pos="445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不拖欠民工工资承诺函</w:t>
      </w:r>
      <w:r>
        <w:rPr>
          <w:rFonts w:hint="eastAsia" w:ascii="仿宋" w:hAnsi="仿宋" w:eastAsia="仿宋" w:cs="仿宋"/>
          <w:b/>
          <w:color w:val="000000"/>
          <w:sz w:val="24"/>
          <w:szCs w:val="24"/>
          <w:highlight w:val="none"/>
        </w:rPr>
      </w:r>
      <w:r/>
    </w:p>
    <w:p>
      <w:pPr>
        <w:pStyle w:val="906"/>
        <w:ind w:firstLine="420"/>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rPr>
      </w:r>
      <w:r/>
    </w:p>
    <w:p>
      <w:pPr>
        <w:pStyle w:val="906"/>
        <w:ind w:firstLine="315"/>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对于贵单位与我公司就</w:t>
      </w:r>
      <w:r>
        <w:rPr>
          <w:rFonts w:hint="eastAsia" w:ascii="仿宋" w:hAnsi="仿宋" w:eastAsia="仿宋" w:cs="仿宋"/>
          <w:color w:val="000000"/>
          <w:sz w:val="24"/>
          <w:szCs w:val="24"/>
          <w:highlight w:val="none"/>
          <w:u w:val="single"/>
        </w:rPr>
        <w:t xml:space="preserve">                    （工程全称）</w:t>
      </w:r>
      <w:r>
        <w:rPr>
          <w:rFonts w:hint="eastAsia" w:ascii="仿宋" w:hAnsi="仿宋" w:eastAsia="仿宋" w:cs="仿宋"/>
          <w:color w:val="000000"/>
          <w:sz w:val="24"/>
          <w:szCs w:val="24"/>
          <w:highlight w:val="none"/>
        </w:rPr>
        <w:t xml:space="preserve">施工签订的施工合同，我公司承诺如下：</w:t>
      </w:r>
      <w:r>
        <w:rPr>
          <w:rFonts w:hint="eastAsia" w:ascii="仿宋" w:hAnsi="仿宋" w:eastAsia="仿宋" w:cs="仿宋"/>
          <w:color w:val="000000"/>
          <w:sz w:val="24"/>
          <w:szCs w:val="24"/>
          <w:highlight w:val="none"/>
          <w:u w:val="single"/>
        </w:rPr>
      </w:r>
      <w:r/>
    </w:p>
    <w:p>
      <w:pPr>
        <w:pStyle w:val="906"/>
        <w:spacing w:line="520" w:lineRule="exact"/>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rPr>
        <w:t xml:space="preserve">一、根据国家和当地劳动法规，我公司已与在贵公司</w:t>
      </w:r>
      <w:r>
        <w:rPr>
          <w:rFonts w:hint="eastAsia" w:ascii="仿宋" w:hAnsi="仿宋" w:eastAsia="仿宋" w:cs="仿宋"/>
          <w:color w:val="000000"/>
          <w:sz w:val="24"/>
          <w:szCs w:val="24"/>
          <w:highlight w:val="none"/>
          <w:u w:val="single"/>
        </w:rPr>
        <w:t xml:space="preserve">本项目</w:t>
      </w:r>
      <w:r>
        <w:rPr>
          <w:rFonts w:hint="eastAsia" w:ascii="仿宋" w:hAnsi="仿宋" w:eastAsia="仿宋" w:cs="仿宋"/>
          <w:color w:val="000000"/>
          <w:sz w:val="24"/>
          <w:szCs w:val="24"/>
          <w:highlight w:val="none"/>
        </w:rPr>
        <w:t xml:space="preserve">施工的所有劳动者（含农民工、下同）签定了劳动合同，将严格履行支付劳动报酬等合同义务。</w:t>
      </w:r>
      <w:r>
        <w:rPr>
          <w:rFonts w:hint="eastAsia" w:ascii="仿宋" w:hAnsi="仿宋" w:eastAsia="仿宋" w:cs="仿宋"/>
          <w:b/>
          <w:color w:val="000000"/>
          <w:sz w:val="24"/>
          <w:szCs w:val="24"/>
          <w:highlight w:val="none"/>
          <w:u w:val="single"/>
        </w:rPr>
      </w:r>
      <w:r/>
    </w:p>
    <w:p>
      <w:pPr>
        <w:pStyle w:val="906"/>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二、对贵公司支付的工程款，我公司将优先用于支付劳动者报酬。</w:t>
      </w:r>
      <w:r>
        <w:rPr>
          <w:rFonts w:hint="eastAsia" w:ascii="仿宋" w:hAnsi="仿宋" w:eastAsia="仿宋" w:cs="仿宋"/>
          <w:color w:val="000000"/>
          <w:sz w:val="24"/>
          <w:szCs w:val="24"/>
          <w:highlight w:val="none"/>
        </w:rPr>
      </w:r>
      <w:r/>
    </w:p>
    <w:p>
      <w:pPr>
        <w:pStyle w:val="906"/>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若在本项目上发生拖欠、克扣劳动者报酬行为的，或者因该项目劳动者报酬纠纷使得贵公司可能涉及诉讼、仲裁、或其他不利影响时，贵公司有权从我公司工程款中扣除相应款项，直接支付给相关的劳动者，并有权解除施工合同，我公司赔偿因此而给贵公司造成的一切损失。</w:t>
      </w:r>
      <w:r>
        <w:rPr>
          <w:rFonts w:hint="eastAsia" w:ascii="仿宋" w:hAnsi="仿宋" w:eastAsia="仿宋" w:cs="仿宋"/>
          <w:color w:val="000000"/>
          <w:sz w:val="24"/>
          <w:szCs w:val="24"/>
          <w:highlight w:val="none"/>
        </w:rPr>
      </w:r>
      <w:r/>
    </w:p>
    <w:p>
      <w:pPr>
        <w:pStyle w:val="906"/>
        <w:ind w:firstLine="42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本承诺是不可撤销的，在施工合同终止前一直有效。</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承包人（公章）</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法定代表人（签字或签章）：</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经办人（签字）：</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rPr>
      </w:r>
      <w:r/>
    </w:p>
    <w:p>
      <w:pPr>
        <w:pStyle w:val="906"/>
        <w:ind w:firstLine="388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24"/>
          <w:szCs w:val="24"/>
          <w:highlight w:val="none"/>
        </w:rPr>
        <w:t xml:space="preserve">附件3：</w:t>
      </w:r>
      <w:r>
        <w:rPr>
          <w:rFonts w:hint="eastAsia" w:ascii="仿宋" w:hAnsi="仿宋" w:eastAsia="仿宋" w:cs="仿宋"/>
          <w:color w:val="000000"/>
          <w:sz w:val="24"/>
          <w:szCs w:val="24"/>
          <w:highlight w:val="none"/>
        </w:rPr>
      </w:r>
      <w:r/>
    </w:p>
    <w:p>
      <w:pPr>
        <w:pStyle w:val="906"/>
        <w:jc w:val="center"/>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安全生产承诺书</w:t>
      </w:r>
      <w:r>
        <w:rPr>
          <w:rFonts w:hint="eastAsia" w:ascii="仿宋" w:hAnsi="仿宋" w:eastAsia="仿宋" w:cs="仿宋"/>
          <w:b/>
          <w:color w:val="000000"/>
          <w:sz w:val="24"/>
          <w:szCs w:val="24"/>
          <w:highlight w:val="none"/>
        </w:rPr>
      </w:r>
      <w:r/>
    </w:p>
    <w:p>
      <w:pPr>
        <w:pStyle w:val="906"/>
        <w:spacing w:line="600" w:lineRule="exact"/>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工程全称），一旦由我方承做，我方承诺对工地现场的一切人员、设备的安全承担责任。施工过程中，我司将为所属员工提供必须的安全防护设备，并进行安全教育，避免相关安全事故的发生。在施工过程中发生的人员安全及财产损害等均由我方负责处理，并承担由此带来的一切后果及责任，相关经济及法律责任与甲方无关。</w:t>
      </w:r>
      <w:r>
        <w:rPr>
          <w:rFonts w:hint="eastAsia" w:ascii="仿宋" w:hAnsi="仿宋" w:eastAsia="仿宋" w:cs="仿宋"/>
          <w:b/>
          <w:color w:val="000000"/>
          <w:sz w:val="24"/>
          <w:szCs w:val="24"/>
          <w:highlight w:val="none"/>
          <w:u w:val="single"/>
        </w:rPr>
      </w:r>
      <w:r/>
    </w:p>
    <w:p>
      <w:pPr>
        <w:pStyle w:val="906"/>
        <w:ind w:firstLine="411"/>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时，执行《安全事故处理原则》所有条款，甲方有权从向我方支付的工程款中扣除违约金。不足金额部分甲方有讼诉权利。我方承担包含但不限于医药费、护理费、营养费、误工费、抚恤费、抚养费、住宿费、差旅费丧葬费等各类支付给伤亡人员家属的所有费用，并由我方与伤亡人员家属签订赔偿责任书。</w:t>
      </w:r>
      <w:r>
        <w:rPr>
          <w:rFonts w:hint="eastAsia" w:ascii="仿宋" w:hAnsi="仿宋" w:eastAsia="仿宋" w:cs="仿宋"/>
          <w:color w:val="000000"/>
          <w:sz w:val="24"/>
          <w:szCs w:val="24"/>
          <w:highlight w:val="none"/>
        </w:rPr>
      </w:r>
      <w:r/>
    </w:p>
    <w:p>
      <w:pPr>
        <w:pStyle w:val="906"/>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spacing w:before="78" w:after="78"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83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承包人（公章）</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法定代表人（签字或签章）：</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经办人（签字）：</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24"/>
          <w:szCs w:val="24"/>
          <w:highlight w:val="none"/>
        </w:rPr>
        <w:t xml:space="preserve">附件4：</w:t>
      </w:r>
      <w:r>
        <w:rPr>
          <w:rFonts w:hint="eastAsia" w:ascii="仿宋" w:hAnsi="仿宋" w:eastAsia="仿宋" w:cs="仿宋"/>
          <w:color w:val="000000"/>
          <w:sz w:val="24"/>
          <w:szCs w:val="24"/>
          <w:highlight w:val="none"/>
        </w:rPr>
      </w:r>
      <w:r/>
    </w:p>
    <w:p>
      <w:pPr>
        <w:pStyle w:val="906"/>
        <w:jc w:val="cente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廉政责任书</w:t>
      </w:r>
      <w:r>
        <w:rPr>
          <w:rFonts w:hint="eastAsia" w:ascii="仿宋" w:hAnsi="仿宋" w:eastAsia="仿宋" w:cs="仿宋"/>
          <w:b/>
          <w:color w:val="000000"/>
          <w:sz w:val="24"/>
          <w:szCs w:val="24"/>
          <w:highlight w:val="non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06"/>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06"/>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315"/>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甲、乙双方于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月签署了</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color w:val="000000"/>
          <w:sz w:val="24"/>
          <w:szCs w:val="24"/>
          <w:highlight w:val="none"/>
          <w:u w:val="single"/>
        </w:rPr>
        <w:t xml:space="preserve">             （工程全称）</w:t>
      </w:r>
      <w:r>
        <w:rPr>
          <w:rFonts w:hint="eastAsia" w:ascii="仿宋" w:hAnsi="仿宋" w:eastAsia="仿宋" w:cs="仿宋"/>
          <w:color w:val="000000"/>
          <w:sz w:val="24"/>
          <w:szCs w:val="24"/>
          <w:highlight w:val="none"/>
        </w:rPr>
        <w:t xml:space="preserve">施工合同，为加强工程项目建设期间的阳光合作，确保项目高效优质按期竣工，甲、乙双方经协商签定本协议并作为双方共同遵守的阳光合作行为准则。</w:t>
      </w:r>
      <w:r>
        <w:rPr>
          <w:rFonts w:hint="eastAsia" w:ascii="仿宋" w:hAnsi="仿宋" w:eastAsia="仿宋" w:cs="仿宋"/>
          <w:color w:val="000000"/>
          <w:sz w:val="24"/>
          <w:szCs w:val="24"/>
          <w:highlight w:val="none"/>
        </w:rPr>
      </w:r>
      <w:r/>
    </w:p>
    <w:p>
      <w:pPr>
        <w:pStyle w:val="906"/>
        <w:jc w:val="left"/>
        <w:spacing w:line="400" w:lineRule="exact"/>
        <w:tabs>
          <w:tab w:val="left" w:pos="831"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甲方责任</w:t>
      </w:r>
      <w:r>
        <w:rPr>
          <w:rFonts w:hint="eastAsia" w:ascii="仿宋" w:hAnsi="仿宋" w:eastAsia="仿宋" w:cs="仿宋"/>
          <w:color w:val="000000"/>
          <w:sz w:val="24"/>
          <w:szCs w:val="24"/>
          <w:highlight w:val="none"/>
        </w:rPr>
      </w:r>
      <w:r/>
    </w:p>
    <w:p>
      <w:pPr>
        <w:pStyle w:val="906"/>
        <w:numPr>
          <w:ilvl w:val="0"/>
          <w:numId w:val="9"/>
        </w:numPr>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甲方有责任向乙方介绍本单位有关阳光合作管理的各项制度和规定。</w:t>
      </w:r>
      <w:r>
        <w:rPr>
          <w:rFonts w:hint="eastAsia" w:ascii="仿宋" w:hAnsi="仿宋" w:eastAsia="仿宋" w:cs="仿宋"/>
          <w:color w:val="000000"/>
          <w:sz w:val="24"/>
          <w:szCs w:val="24"/>
          <w:highlight w:val="none"/>
        </w:rPr>
      </w:r>
      <w:r/>
    </w:p>
    <w:p>
      <w:pPr>
        <w:pStyle w:val="906"/>
        <w:numPr>
          <w:ilvl w:val="0"/>
          <w:numId w:val="9"/>
        </w:numPr>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甲方有责任对本单位相关人员进行阳光合作教育。</w:t>
      </w:r>
      <w:r>
        <w:rPr>
          <w:rFonts w:hint="eastAsia" w:ascii="仿宋" w:hAnsi="仿宋" w:eastAsia="仿宋" w:cs="仿宋"/>
          <w:color w:val="000000"/>
          <w:sz w:val="24"/>
          <w:szCs w:val="24"/>
          <w:highlight w:val="none"/>
        </w:rPr>
      </w:r>
      <w:r/>
    </w:p>
    <w:p>
      <w:pPr>
        <w:pStyle w:val="906"/>
        <w:numPr>
          <w:ilvl w:val="0"/>
          <w:numId w:val="9"/>
        </w:numPr>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甲方人员应严格遵守本单位有关阳光合作管理的规定，不得接受乙方的宴请，不得接受任何形式的实物、现金或礼券。</w:t>
      </w:r>
      <w:r>
        <w:rPr>
          <w:rFonts w:hint="eastAsia" w:ascii="仿宋" w:hAnsi="仿宋" w:eastAsia="仿宋" w:cs="仿宋"/>
          <w:color w:val="000000"/>
          <w:sz w:val="24"/>
          <w:szCs w:val="24"/>
          <w:highlight w:val="none"/>
        </w:rPr>
      </w:r>
      <w:r/>
    </w:p>
    <w:p>
      <w:pPr>
        <w:pStyle w:val="906"/>
        <w:numPr>
          <w:ilvl w:val="0"/>
          <w:numId w:val="9"/>
        </w:numPr>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甲方人员如违反阳光合作管理制度及本协议规定，甲方视情节轻重、影响大小给予行政及经济处罚。</w:t>
      </w:r>
      <w:r>
        <w:rPr>
          <w:rFonts w:hint="eastAsia" w:ascii="仿宋" w:hAnsi="仿宋" w:eastAsia="仿宋" w:cs="仿宋"/>
          <w:color w:val="000000"/>
          <w:sz w:val="24"/>
          <w:szCs w:val="24"/>
          <w:highlight w:val="none"/>
        </w:rPr>
      </w:r>
      <w:r/>
    </w:p>
    <w:p>
      <w:pPr>
        <w:pStyle w:val="906"/>
        <w:numPr>
          <w:ilvl w:val="0"/>
          <w:numId w:val="9"/>
        </w:numPr>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对于乙方举报甲方人员违反阳光合作规定的情况，甲方应及时进行调查，根据调查情况进行处理，并将调查结果向乙方反馈。</w:t>
      </w:r>
      <w:r>
        <w:rPr>
          <w:rFonts w:hint="eastAsia" w:ascii="仿宋" w:hAnsi="仿宋" w:eastAsia="仿宋" w:cs="仿宋"/>
          <w:color w:val="000000"/>
          <w:sz w:val="24"/>
          <w:szCs w:val="24"/>
          <w:highlight w:val="none"/>
        </w:rPr>
      </w:r>
      <w:r/>
    </w:p>
    <w:p>
      <w:pPr>
        <w:pStyle w:val="906"/>
        <w:jc w:val="left"/>
        <w:spacing w:line="400" w:lineRule="exact"/>
        <w:tabs>
          <w:tab w:val="left" w:pos="831" w:leader="none"/>
          <w:tab w:val="left" w:pos="851"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乙方责任</w:t>
      </w:r>
      <w:r>
        <w:rPr>
          <w:rFonts w:hint="eastAsia" w:ascii="仿宋" w:hAnsi="仿宋" w:eastAsia="仿宋" w:cs="仿宋"/>
          <w:color w:val="000000"/>
          <w:sz w:val="24"/>
          <w:szCs w:val="24"/>
          <w:highlight w:val="none"/>
        </w:rPr>
      </w:r>
      <w:r/>
    </w:p>
    <w:p>
      <w:pPr>
        <w:pStyle w:val="906"/>
        <w:numPr>
          <w:ilvl w:val="0"/>
          <w:numId w:val="10"/>
        </w:numPr>
        <w:jc w:val="left"/>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乙方应保证乙方人员了解甲方有关阳光合作管理的各项制度及本协议的规定，并遵照执行。</w:t>
      </w:r>
      <w:r>
        <w:rPr>
          <w:rFonts w:hint="eastAsia" w:ascii="仿宋" w:hAnsi="仿宋" w:eastAsia="仿宋" w:cs="仿宋"/>
          <w:color w:val="000000"/>
          <w:sz w:val="24"/>
          <w:szCs w:val="24"/>
          <w:highlight w:val="none"/>
        </w:rPr>
      </w:r>
      <w:r/>
    </w:p>
    <w:p>
      <w:pPr>
        <w:pStyle w:val="906"/>
        <w:numPr>
          <w:ilvl w:val="0"/>
          <w:numId w:val="10"/>
        </w:numPr>
        <w:jc w:val="left"/>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乙方不得宴请甲方人员，不得以任何形式赠送实物、现金或礼券。</w:t>
      </w:r>
      <w:r>
        <w:rPr>
          <w:rFonts w:hint="eastAsia" w:ascii="仿宋" w:hAnsi="仿宋" w:eastAsia="仿宋" w:cs="仿宋"/>
          <w:color w:val="000000"/>
          <w:sz w:val="24"/>
          <w:szCs w:val="24"/>
          <w:highlight w:val="none"/>
        </w:rPr>
      </w:r>
      <w:r/>
    </w:p>
    <w:p>
      <w:pPr>
        <w:pStyle w:val="906"/>
        <w:numPr>
          <w:ilvl w:val="0"/>
          <w:numId w:val="10"/>
        </w:numPr>
        <w:jc w:val="left"/>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乙方有责任接受甲方对乙方在工程项目建设期间阳光合作管理执行情况的监督。</w:t>
      </w:r>
      <w:r>
        <w:rPr>
          <w:rFonts w:hint="eastAsia" w:ascii="仿宋" w:hAnsi="仿宋" w:eastAsia="仿宋" w:cs="仿宋"/>
          <w:color w:val="000000"/>
          <w:sz w:val="24"/>
          <w:szCs w:val="24"/>
          <w:highlight w:val="none"/>
        </w:rPr>
      </w:r>
      <w:r/>
    </w:p>
    <w:p>
      <w:pPr>
        <w:pStyle w:val="906"/>
        <w:numPr>
          <w:ilvl w:val="0"/>
          <w:numId w:val="10"/>
        </w:numPr>
        <w:jc w:val="left"/>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人员有义务就甲方人员任何形式的索贿或受贿行为及时向甲方审计监察部或甲方总经理举报；如乙方向甲方人员行贿，或甲方人员向乙方索贿，乙方满足其要求且并未向甲方举报的，一经查实，甲方将向乙方出示黄牌，并在甲方内部通报。除追回由此给甲方造成的损失外，乙方承诺在合同总价的基础上再让利10%，并对乙方知情不报人员进行相应处罚。一年内连续出现2次及以上类似情况，甲方将向乙方出示红牌，甲方有权暂停或终止与乙方的合作。</w:t>
      </w:r>
      <w:r>
        <w:rPr>
          <w:rFonts w:hint="eastAsia" w:ascii="仿宋" w:hAnsi="仿宋" w:eastAsia="仿宋" w:cs="仿宋"/>
          <w:color w:val="000000"/>
          <w:sz w:val="24"/>
          <w:szCs w:val="24"/>
          <w:highlight w:val="none"/>
        </w:rPr>
      </w:r>
      <w:r/>
    </w:p>
    <w:p>
      <w:pPr>
        <w:pStyle w:val="906"/>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如因乙方人员在工程项目建设期间贿赂甲方人员，被检察机关立案查处，甲方将向乙方直接出示红牌，甲方有权取消或终止工程合同的履行，暂停或终止与乙方的合作，由此给甲方造成的损失由乙方负责赔偿。</w:t>
      </w:r>
      <w:r>
        <w:rPr>
          <w:rFonts w:hint="eastAsia" w:ascii="仿宋" w:hAnsi="仿宋" w:eastAsia="仿宋" w:cs="仿宋"/>
          <w:color w:val="000000"/>
          <w:sz w:val="24"/>
          <w:szCs w:val="24"/>
          <w:highlight w:val="none"/>
        </w:rPr>
      </w:r>
      <w:r/>
    </w:p>
    <w:p>
      <w:pPr>
        <w:pStyle w:val="906"/>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6、甲方接受乙方实名或匿名投诉，保证为投诉者的信息保密，常设举报部门及电话：</w:t>
      </w: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7、本协议与双方签定的本合同具有同等法律效力。</w:t>
      </w: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                               承包人（公章）</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                     法定代表人（签字或签章）：</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经办人（签字）：                               经办人（签字）：</w:t>
      </w:r>
      <w:r>
        <w:rPr>
          <w:rFonts w:hint="eastAsia" w:ascii="仿宋" w:hAnsi="仿宋" w:eastAsia="仿宋" w:cs="仿宋"/>
          <w:color w:val="000000"/>
          <w:sz w:val="24"/>
          <w:szCs w:val="24"/>
          <w:highlight w:val="none"/>
        </w:rPr>
      </w:r>
      <w:r/>
    </w:p>
    <w:p>
      <w:pPr>
        <w:pStyle w:val="906"/>
        <w:spacing w:after="100"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日期：</w:t>
      </w: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460" w:lineRule="exact"/>
        <w:rPr>
          <w:rFonts w:hint="eastAsia" w:ascii="仿宋" w:hAnsi="仿宋" w:eastAsia="仿宋" w:cs="仿宋"/>
          <w:color w:val="000000"/>
          <w:sz w:val="24"/>
          <w:szCs w:val="24"/>
          <w:highlight w:val="none"/>
        </w:rPr>
        <w:sectPr>
          <w:footerReference w:type="default" r:id="rId19"/>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仿宋" w:hAnsi="仿宋" w:eastAsia="仿宋" w:cs="仿宋"/>
          <w:color w:val="000000"/>
          <w:sz w:val="24"/>
          <w:szCs w:val="24"/>
          <w:highlight w:val="none"/>
        </w:rPr>
      </w:r>
      <w:r/>
    </w:p>
    <w:p>
      <w:pPr>
        <w:pStyle w:val="982"/>
        <w:spacing w:line="360" w:lineRule="auto"/>
        <w:rPr>
          <w:rFonts w:hint="eastAsia" w:ascii="仿宋" w:hAnsi="仿宋" w:eastAsia="仿宋" w:cs="仿宋"/>
          <w:color w:val="000000"/>
          <w:highlight w:val="none"/>
        </w:rPr>
      </w:pPr>
      <w:r/>
      <w:bookmarkEnd w:id="149"/>
      <w:r/>
      <w:bookmarkEnd w:id="150"/>
      <w:r/>
      <w:bookmarkEnd w:id="151"/>
      <w:r/>
      <w:bookmarkEnd w:id="153"/>
      <w:r/>
      <w:bookmarkEnd w:id="160"/>
      <w:r/>
      <w:bookmarkEnd w:id="161"/>
      <w:r/>
      <w:bookmarkEnd w:id="162"/>
      <w:r/>
      <w:bookmarkEnd w:id="163"/>
      <w:r/>
      <w:bookmarkEnd w:id="164"/>
      <w:r/>
      <w:bookmarkEnd w:id="165"/>
      <w:r/>
      <w:bookmarkStart w:id="713" w:name="_Toc504573082"/>
      <w:r/>
      <w:bookmarkStart w:id="714" w:name="_Toc45290281"/>
      <w:r/>
      <w:bookmarkStart w:id="715" w:name="_Toc534273798"/>
      <w:r/>
      <w:bookmarkStart w:id="716" w:name="_Toc534273675"/>
      <w:r/>
      <w:bookmarkStart w:id="717" w:name="_Toc15502"/>
      <w:r>
        <w:rPr>
          <w:rFonts w:hint="eastAsia" w:ascii="仿宋" w:hAnsi="仿宋" w:eastAsia="仿宋" w:cs="仿宋"/>
          <w:color w:val="000000"/>
          <w:highlight w:val="none"/>
          <w:lang w:val="zh-CN"/>
        </w:rPr>
        <w:t xml:space="preserve">第六章</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zh-CN"/>
        </w:rPr>
        <w:t xml:space="preserve">附件</w:t>
      </w:r>
      <w:bookmarkEnd w:id="152"/>
      <w:r/>
      <w:bookmarkEnd w:id="713"/>
      <w:r/>
      <w:bookmarkEnd w:id="714"/>
      <w:r/>
      <w:bookmarkEnd w:id="715"/>
      <w:r/>
      <w:bookmarkEnd w:id="716"/>
      <w:r/>
      <w:bookmarkEnd w:id="717"/>
      <w:r>
        <w:rPr>
          <w:rFonts w:hint="eastAsia" w:ascii="仿宋" w:hAnsi="仿宋" w:eastAsia="仿宋" w:cs="仿宋"/>
          <w:color w:val="000000"/>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竞争性磋商响应文件</w:t>
      </w:r>
      <w:r>
        <w:rPr>
          <w:rFonts w:hint="eastAsia" w:ascii="仿宋" w:hAnsi="仿宋" w:eastAsia="仿宋" w:cs="仿宋"/>
          <w:b/>
          <w:bCs/>
          <w:color w:val="000000"/>
          <w:sz w:val="32"/>
          <w:szCs w:val="32"/>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供应商：（加盖电子公章）</w:t>
      </w:r>
      <w:r>
        <w:rPr>
          <w:rFonts w:hint="eastAsia" w:ascii="仿宋" w:hAnsi="仿宋" w:eastAsia="仿宋" w:cs="仿宋"/>
          <w:color w:val="000000"/>
          <w:sz w:val="24"/>
          <w:szCs w:val="24"/>
          <w:highlight w:val="none"/>
          <w:u w:val="single"/>
        </w:rPr>
      </w:r>
      <w:r/>
    </w:p>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906"/>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72"/>
        <w:jc w:val="center"/>
        <w:spacing w:line="360" w:lineRule="auto"/>
        <w:shd w:val="clear" w:color="auto" w:fill="ffffff"/>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目录</w:t>
      </w:r>
      <w:r>
        <w:rPr>
          <w:rFonts w:hint="eastAsia" w:ascii="仿宋" w:hAnsi="仿宋" w:eastAsia="仿宋" w:cs="仿宋"/>
          <w:b/>
          <w:bCs/>
          <w:color w:val="000000"/>
          <w:sz w:val="24"/>
          <w:szCs w:val="24"/>
          <w:highlight w:val="none"/>
        </w:rPr>
      </w:r>
      <w:r/>
    </w:p>
    <w:p>
      <w:pPr>
        <w:pStyle w:val="906"/>
        <w:jc w:val="center"/>
        <w:spacing w:line="44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（注：供应商根据附件顺序编制响应文件并制作目录（须生成页码））</w:t>
      </w:r>
      <w:r>
        <w:rPr>
          <w:rFonts w:hint="eastAsia" w:ascii="仿宋" w:hAnsi="仿宋" w:eastAsia="仿宋" w:cs="仿宋"/>
          <w:color w:val="000000"/>
          <w:sz w:val="24"/>
          <w:szCs w:val="24"/>
          <w:highlight w:val="none"/>
        </w:rPr>
      </w:r>
      <w:r/>
    </w:p>
    <w:p>
      <w:pPr>
        <w:pStyle w:val="100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06"/>
        <w:ind w:firstLine="482"/>
        <w:spacing w:before="240" w:after="240"/>
        <w:rPr>
          <w:rFonts w:hint="eastAsia" w:ascii="仿宋" w:hAnsi="仿宋" w:eastAsia="仿宋" w:cs="仿宋"/>
          <w:b/>
          <w:bCs/>
          <w:color w:val="000000"/>
          <w:sz w:val="24"/>
          <w:szCs w:val="24"/>
          <w:highlight w:val="none"/>
        </w:rPr>
      </w:pPr>
      <w:r/>
      <w:bookmarkStart w:id="718" w:name="_Toc504573083"/>
      <w:r/>
      <w:bookmarkStart w:id="719" w:name="_Toc504044380"/>
      <w:r/>
      <w:bookmarkStart w:id="720" w:name="_Toc504056868"/>
      <w:r/>
      <w:bookmarkStart w:id="721" w:name="_Toc490133028"/>
      <w:r>
        <w:rPr>
          <w:rFonts w:hint="eastAsia" w:ascii="仿宋" w:hAnsi="仿宋" w:eastAsia="仿宋" w:cs="仿宋"/>
          <w:b/>
          <w:bCs/>
          <w:color w:val="000000"/>
          <w:sz w:val="24"/>
          <w:szCs w:val="24"/>
          <w:highlight w:val="none"/>
        </w:rPr>
        <w:t xml:space="preserve">一、竞争性磋商申请及声明.................................X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二、法定代表人授权书.....................................X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三、报价表...............................................X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四、已标价工程量清单.....................................X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五、技术条款偏离表.......................................X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六、商务要求响应及偏离表.................................X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七、拟参与本项目人员一览表...............................X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八、供应商类似业绩情况表.................................X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九、企业声明函...........................................X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十、无重大违法记录声明...................................X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十一、资格资信证明文件...................................X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十二、南京市政府采购供应商信用记录表暨信用承诺书.........X</w:t>
      </w:r>
      <w:r>
        <w:rPr>
          <w:rFonts w:hint="eastAsia" w:ascii="仿宋" w:hAnsi="仿宋" w:eastAsia="仿宋" w:cs="仿宋"/>
          <w:b/>
          <w:bCs/>
          <w:color w:val="000000"/>
          <w:sz w:val="24"/>
          <w:szCs w:val="24"/>
          <w:highlight w:val="none"/>
        </w:rPr>
      </w:r>
      <w:r/>
    </w:p>
    <w:p>
      <w:pPr>
        <w:pStyle w:val="906"/>
        <w:ind w:firstLine="482"/>
        <w:spacing w:before="240" w:after="240"/>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十三、供应商提供的其他资料...............................X</w:t>
      </w:r>
      <w:r>
        <w:rPr>
          <w:rFonts w:hint="eastAsia" w:ascii="仿宋" w:hAnsi="仿宋" w:eastAsia="仿宋" w:cs="仿宋"/>
          <w:b/>
          <w:bCs/>
          <w:color w:val="000000"/>
          <w:sz w:val="24"/>
          <w:szCs w:val="24"/>
          <w:highlight w:val="none"/>
        </w:rPr>
        <w:br w:type="page" w:clear="all"/>
      </w:r>
      <w:bookmarkStart w:id="722" w:name="_Toc534273800"/>
      <w:r/>
      <w:bookmarkStart w:id="723" w:name="_Toc534273677"/>
      <w:r>
        <w:rPr>
          <w:rFonts w:hint="eastAsia" w:ascii="仿宋" w:hAnsi="仿宋" w:eastAsia="仿宋" w:cs="仿宋"/>
          <w:b/>
          <w:color w:val="000000"/>
          <w:sz w:val="24"/>
          <w:szCs w:val="24"/>
          <w:highlight w:val="none"/>
        </w:rPr>
        <w:t xml:space="preserve">一、 竞争性磋商申请及声明</w:t>
      </w:r>
      <w:bookmarkEnd w:id="718"/>
      <w:r/>
      <w:bookmarkEnd w:id="719"/>
      <w:r/>
      <w:bookmarkEnd w:id="720"/>
      <w:r/>
      <w:bookmarkEnd w:id="721"/>
      <w:r/>
      <w:bookmarkEnd w:id="722"/>
      <w:r/>
      <w:bookmarkEnd w:id="723"/>
      <w:r>
        <w:rPr>
          <w:rFonts w:hint="eastAsia" w:ascii="仿宋" w:hAnsi="仿宋" w:eastAsia="仿宋" w:cs="仿宋"/>
          <w:b/>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竞争性磋商申请及声明</w:t>
      </w:r>
      <w:r>
        <w:rPr>
          <w:rFonts w:hint="eastAsia" w:ascii="仿宋" w:hAnsi="仿宋" w:eastAsia="仿宋" w:cs="仿宋"/>
          <w:b/>
          <w:color w:val="000000"/>
          <w:sz w:val="24"/>
          <w:szCs w:val="24"/>
          <w:highlight w:val="none"/>
        </w:rPr>
      </w:r>
      <w:r/>
    </w:p>
    <w:p>
      <w:pPr>
        <w:pStyle w:val="90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bookmarkStart w:id="724" w:name="_Toc504573084"/>
      <w:r/>
      <w:bookmarkStart w:id="725" w:name="_Toc490133029"/>
      <w:r/>
      <w:bookmarkStart w:id="726" w:name="_Toc534273801"/>
      <w:r/>
      <w:bookmarkStart w:id="727" w:name="_Toc504044381"/>
      <w:r/>
      <w:bookmarkStart w:id="728" w:name="_Toc534273678"/>
      <w:r/>
      <w:bookmarkStart w:id="729" w:name="_Toc504056869"/>
      <w:r>
        <w:rPr>
          <w:rFonts w:hint="eastAsia" w:ascii="仿宋" w:hAnsi="仿宋" w:eastAsia="仿宋" w:cs="仿宋"/>
          <w:color w:val="000000"/>
          <w:sz w:val="24"/>
          <w:szCs w:val="24"/>
          <w:highlight w:val="none"/>
        </w:rPr>
        <w:t xml:space="preserve">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根据贵方</w:t>
      </w:r>
      <w:r>
        <w:rPr>
          <w:rFonts w:hint="eastAsia" w:ascii="仿宋" w:hAnsi="仿宋" w:eastAsia="仿宋" w:cs="仿宋"/>
          <w:color w:val="000000"/>
          <w:sz w:val="24"/>
          <w:szCs w:val="24"/>
          <w:highlight w:val="none"/>
          <w:u w:val="single"/>
        </w:rPr>
        <w:t xml:space="preserve">（项目名称）（项目编号）</w:t>
      </w:r>
      <w:r>
        <w:rPr>
          <w:rFonts w:hint="eastAsia" w:ascii="仿宋" w:hAnsi="仿宋" w:eastAsia="仿宋" w:cs="仿宋"/>
          <w:color w:val="000000"/>
          <w:sz w:val="24"/>
          <w:szCs w:val="24"/>
          <w:highlight w:val="none"/>
        </w:rPr>
        <w:t xml:space="preserve">磋商邀请，正式授权下述签字人</w:t>
      </w:r>
      <w:r>
        <w:rPr>
          <w:rFonts w:hint="eastAsia" w:ascii="仿宋" w:hAnsi="仿宋" w:eastAsia="仿宋" w:cs="仿宋"/>
          <w:color w:val="000000"/>
          <w:sz w:val="24"/>
          <w:szCs w:val="24"/>
          <w:highlight w:val="none"/>
          <w:u w:val="single"/>
        </w:rPr>
        <w:t xml:space="preserve"> (姓名和职务)</w:t>
      </w:r>
      <w:r>
        <w:rPr>
          <w:rFonts w:hint="eastAsia" w:ascii="仿宋" w:hAnsi="仿宋" w:eastAsia="仿宋" w:cs="仿宋"/>
          <w:color w:val="000000"/>
          <w:sz w:val="24"/>
          <w:szCs w:val="24"/>
          <w:highlight w:val="none"/>
        </w:rPr>
        <w:t xml:space="preserve">代表</w:t>
      </w:r>
      <w:r>
        <w:rPr>
          <w:rFonts w:hint="eastAsia" w:ascii="仿宋" w:hAnsi="仿宋" w:eastAsia="仿宋" w:cs="仿宋"/>
          <w:color w:val="000000"/>
          <w:sz w:val="24"/>
          <w:szCs w:val="24"/>
          <w:highlight w:val="none"/>
          <w:u w:val="single"/>
        </w:rPr>
        <w:t xml:space="preserve">（供应商名称）</w:t>
      </w:r>
      <w:r>
        <w:rPr>
          <w:rFonts w:hint="eastAsia" w:ascii="仿宋" w:hAnsi="仿宋" w:eastAsia="仿宋" w:cs="仿宋"/>
          <w:color w:val="000000"/>
          <w:sz w:val="24"/>
          <w:szCs w:val="24"/>
          <w:highlight w:val="none"/>
        </w:rPr>
        <w:t xml:space="preserve">，提交响应性文件并参加磋商。</w:t>
      </w:r>
      <w:r>
        <w:rPr>
          <w:rFonts w:hint="eastAsia" w:ascii="仿宋" w:hAnsi="仿宋" w:eastAsia="仿宋" w:cs="仿宋"/>
          <w:color w:val="000000"/>
          <w:sz w:val="24"/>
          <w:szCs w:val="24"/>
          <w:highlight w:val="none"/>
        </w:rPr>
      </w:r>
      <w:r/>
    </w:p>
    <w:p>
      <w:pPr>
        <w:pStyle w:val="906"/>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据此函，签字人兹宣布同意如下：</w:t>
      </w:r>
      <w:r>
        <w:rPr>
          <w:rFonts w:hint="eastAsia" w:ascii="仿宋" w:hAnsi="仿宋" w:eastAsia="仿宋" w:cs="仿宋"/>
          <w:color w:val="000000"/>
          <w:sz w:val="24"/>
          <w:szCs w:val="24"/>
          <w:highlight w:val="none"/>
        </w:rPr>
      </w:r>
      <w:r/>
    </w:p>
    <w:p>
      <w:pPr>
        <w:pStyle w:val="94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1.我们的资格条件完全符合政府采购法和本次采购要求，我们同意并向贵方提供了与本次采购活动有关的所有证据和资料。</w:t>
      </w:r>
      <w:r>
        <w:rPr>
          <w:rFonts w:hint="eastAsia" w:ascii="仿宋" w:hAnsi="仿宋" w:eastAsia="仿宋" w:cs="仿宋"/>
          <w:color w:val="000000"/>
          <w:sz w:val="24"/>
          <w:szCs w:val="24"/>
          <w:highlight w:val="none"/>
        </w:rPr>
      </w:r>
      <w:r/>
    </w:p>
    <w:p>
      <w:pPr>
        <w:pStyle w:val="94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2.按竞争性磋商要求，我们的投标报价详见《磋商报价表》。   </w:t>
      </w:r>
      <w:r>
        <w:rPr>
          <w:rFonts w:hint="eastAsia" w:ascii="仿宋" w:hAnsi="仿宋" w:eastAsia="仿宋" w:cs="仿宋"/>
          <w:color w:val="000000"/>
          <w:sz w:val="24"/>
          <w:szCs w:val="24"/>
          <w:highlight w:val="none"/>
        </w:rPr>
      </w:r>
      <w:r/>
    </w:p>
    <w:p>
      <w:pPr>
        <w:pStyle w:val="94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3.我方承诺本项目的工期为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天,工程质量符合</w:t>
      </w:r>
      <w:r>
        <w:rPr>
          <w:rFonts w:hint="eastAsia" w:ascii="仿宋" w:hAnsi="仿宋" w:eastAsia="仿宋" w:cs="仿宋"/>
          <w:color w:val="000000"/>
          <w:sz w:val="24"/>
          <w:szCs w:val="24"/>
          <w:highlight w:val="none"/>
          <w:u w:val="single"/>
        </w:rPr>
        <w:t xml:space="preserve">  国家质量验收标准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4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4.如果我方成交，将派出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作为项目负责人。</w:t>
      </w:r>
      <w:r>
        <w:rPr>
          <w:rFonts w:hint="eastAsia" w:ascii="仿宋" w:hAnsi="仿宋" w:eastAsia="仿宋" w:cs="仿宋"/>
          <w:color w:val="000000"/>
          <w:sz w:val="24"/>
          <w:szCs w:val="24"/>
          <w:highlight w:val="none"/>
        </w:rPr>
      </w:r>
      <w:r/>
    </w:p>
    <w:p>
      <w:pPr>
        <w:pStyle w:val="906"/>
        <w:ind w:firstLine="480"/>
        <w:spacing w:line="40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5.我们已详细阅读全部磋商文件及其有效补充文件，我们放弃对磋商文件任何误解的权利，提交响应文件后，</w:t>
      </w:r>
      <w:r>
        <w:rPr>
          <w:rFonts w:hint="eastAsia" w:ascii="仿宋" w:hAnsi="仿宋" w:eastAsia="仿宋" w:cs="仿宋"/>
          <w:b/>
          <w:bCs/>
          <w:color w:val="000000"/>
          <w:sz w:val="24"/>
          <w:szCs w:val="24"/>
          <w:highlight w:val="none"/>
        </w:rPr>
        <w:t xml:space="preserve">不对磋商文件本身提出质疑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ind w:firstLine="480"/>
        <w:spacing w:line="40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6.我们同意从规定的开标日期起遵循本响应文件，并在规定的投标有效期期满之前均具有约束力。</w:t>
      </w:r>
      <w:r>
        <w:rPr>
          <w:rFonts w:hint="eastAsia" w:ascii="仿宋" w:hAnsi="仿宋" w:eastAsia="仿宋" w:cs="仿宋"/>
          <w:color w:val="000000"/>
          <w:sz w:val="24"/>
          <w:szCs w:val="24"/>
          <w:highlight w:val="none"/>
        </w:rPr>
      </w:r>
      <w:r/>
    </w:p>
    <w:p>
      <w:pPr>
        <w:pStyle w:val="906"/>
        <w:ind w:firstLine="480"/>
        <w:spacing w:line="40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7.一旦我方成交，我方将根据磋商文件的规定严格履行合同，并保证于承诺的时间完成货物的启动/集成、调试等服务，交付采购人验收、使用。</w:t>
      </w:r>
      <w:r>
        <w:rPr>
          <w:rFonts w:hint="eastAsia" w:ascii="仿宋" w:hAnsi="仿宋" w:eastAsia="仿宋" w:cs="仿宋"/>
          <w:color w:val="000000"/>
          <w:sz w:val="24"/>
          <w:szCs w:val="24"/>
          <w:highlight w:val="none"/>
        </w:rPr>
      </w:r>
      <w:r/>
    </w:p>
    <w:p>
      <w:pPr>
        <w:pStyle w:val="906"/>
        <w:ind w:firstLine="480"/>
        <w:spacing w:line="40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rPr>
      </w:r>
      <w:r/>
    </w:p>
    <w:p>
      <w:pPr>
        <w:pStyle w:val="906"/>
        <w:ind w:firstLine="480"/>
        <w:spacing w:line="40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9.与本投标有关的正式联系方式为：</w:t>
      </w:r>
      <w:r>
        <w:rPr>
          <w:rFonts w:hint="eastAsia" w:ascii="仿宋" w:hAnsi="仿宋" w:eastAsia="仿宋" w:cs="仿宋"/>
          <w:color w:val="000000"/>
          <w:sz w:val="24"/>
          <w:szCs w:val="24"/>
          <w:highlight w:val="none"/>
        </w:rPr>
      </w:r>
      <w:r/>
    </w:p>
    <w:p>
      <w:pPr>
        <w:pStyle w:val="906"/>
        <w:ind w:firstLine="420"/>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r>
      <w:r/>
    </w:p>
    <w:p>
      <w:pPr>
        <w:pStyle w:val="906"/>
        <w:ind w:firstLine="420"/>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r>
      <w:r/>
    </w:p>
    <w:p>
      <w:pPr>
        <w:pStyle w:val="906"/>
        <w:ind w:firstLine="420"/>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r>
      <w:r/>
    </w:p>
    <w:p>
      <w:pPr>
        <w:pStyle w:val="906"/>
        <w:ind w:firstLine="420"/>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r>
      <w:r/>
    </w:p>
    <w:p>
      <w:pPr>
        <w:pStyle w:val="906"/>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rPr>
      </w:r>
      <w:r/>
    </w:p>
    <w:p>
      <w:pPr>
        <w:pStyle w:val="906"/>
        <w:ind w:firstLine="420"/>
        <w:spacing w:line="40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供应商授权代表姓名：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（签字或盖章）</w:t>
      </w:r>
      <w:r>
        <w:rPr>
          <w:rFonts w:hint="eastAsia" w:ascii="仿宋" w:hAnsi="仿宋" w:eastAsia="仿宋" w:cs="仿宋"/>
          <w:color w:val="000000"/>
          <w:sz w:val="24"/>
          <w:szCs w:val="24"/>
          <w:highlight w:val="none"/>
        </w:rPr>
      </w:r>
      <w:r/>
    </w:p>
    <w:p>
      <w:pPr>
        <w:pStyle w:val="906"/>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rPr>
      </w:r>
      <w:r/>
    </w:p>
    <w:p>
      <w:pPr>
        <w:pStyle w:val="906"/>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spacing w:before="240" w:after="24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before="240" w:after="24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二、法定代表人授权书格式</w:t>
      </w:r>
      <w:bookmarkEnd w:id="724"/>
      <w:r/>
      <w:bookmarkEnd w:id="725"/>
      <w:r/>
      <w:bookmarkEnd w:id="726"/>
      <w:r/>
      <w:bookmarkEnd w:id="727"/>
      <w:r/>
      <w:bookmarkEnd w:id="728"/>
      <w:r/>
      <w:bookmarkEnd w:id="729"/>
      <w:r>
        <w:rPr>
          <w:rFonts w:hint="eastAsia" w:ascii="仿宋" w:hAnsi="仿宋" w:eastAsia="仿宋" w:cs="仿宋"/>
          <w:b/>
          <w:color w:val="000000"/>
          <w:sz w:val="24"/>
          <w:szCs w:val="24"/>
          <w:highlight w:val="none"/>
        </w:rPr>
      </w:r>
      <w:r/>
    </w:p>
    <w:p>
      <w:pPr>
        <w:pStyle w:val="906"/>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pStyle w:val="906"/>
        <w:jc w:val="center"/>
        <w:rPr>
          <w:rFonts w:hint="eastAsia" w:ascii="仿宋" w:hAnsi="仿宋" w:eastAsia="仿宋" w:cs="仿宋"/>
          <w:color w:val="000000"/>
          <w:sz w:val="24"/>
          <w:szCs w:val="24"/>
          <w:highlight w:val="none"/>
        </w:rPr>
      </w:pPr>
      <w:r/>
      <w:bookmarkStart w:id="730" w:name="_Toc30360"/>
      <w:r>
        <w:rPr>
          <w:rFonts w:hint="eastAsia" w:ascii="仿宋" w:hAnsi="仿宋" w:eastAsia="仿宋" w:cs="仿宋"/>
          <w:color w:val="000000"/>
          <w:sz w:val="24"/>
          <w:szCs w:val="24"/>
          <w:highlight w:val="none"/>
        </w:rPr>
        <w:t xml:space="preserve">法定代表人授权书</w:t>
      </w:r>
      <w:bookmarkEnd w:id="730"/>
      <w:r>
        <w:rPr>
          <w:rFonts w:hint="eastAsia" w:ascii="仿宋" w:hAnsi="仿宋" w:eastAsia="仿宋" w:cs="仿宋"/>
          <w:color w:val="000000"/>
          <w:sz w:val="24"/>
          <w:szCs w:val="24"/>
          <w:highlight w:val="none"/>
        </w:rPr>
      </w:r>
      <w:r/>
    </w:p>
    <w:p>
      <w:pPr>
        <w:pStyle w:val="1047"/>
        <w:ind w:firstLine="480"/>
        <w:spacing w:line="42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本授权书声明：</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（供应商名称）授权</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（被授权人姓名、职务）作为我方参加编号为</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项目采购活动的合法代理人，以本单位名义全权处理一切与该项目采购有关的事务。</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本授权书自______年____月____日起生效，特此声明。</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被授权人身份证号码：</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被授权人联系电话：（手机）</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单位名称：（加盖电子公章）</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法定代表人：（签字或盖章）</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u w:val="single"/>
        </w:rPr>
      </w:pPr>
      <w:r>
        <w:rPr>
          <w:rFonts w:hint="eastAsia" w:ascii="仿宋" w:hAnsi="仿宋" w:eastAsia="仿宋" w:cs="仿宋"/>
          <w:color w:val="000000"/>
          <w:szCs w:val="24"/>
          <w:highlight w:val="none"/>
        </w:rPr>
        <w:t xml:space="preserve">单位地址：</w:t>
      </w:r>
      <w:r>
        <w:rPr>
          <w:rFonts w:hint="eastAsia" w:ascii="仿宋" w:hAnsi="仿宋" w:eastAsia="仿宋" w:cs="仿宋"/>
          <w:color w:val="000000"/>
          <w:szCs w:val="24"/>
          <w:highlight w:val="none"/>
          <w:u w:val="singl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日    期：</w:t>
      </w:r>
      <w:bookmarkStart w:id="731" w:name="_格式3__银行出具的资信证明"/>
      <w:r/>
      <w:bookmarkEnd w:id="731"/>
      <w:r/>
      <w:bookmarkStart w:id="732" w:name="_Hlt26955070"/>
      <w:r/>
      <w:bookmarkEnd w:id="732"/>
      <w:r/>
      <w:bookmarkStart w:id="733" w:name="_Hlt26671380"/>
      <w:r/>
      <w:bookmarkEnd w:id="733"/>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zh-CN"/>
        </w:rPr>
        <w:t xml:space="preserve">★附：</w:t>
      </w:r>
      <w:r>
        <w:rPr>
          <w:rFonts w:hint="eastAsia" w:ascii="仿宋" w:hAnsi="仿宋" w:eastAsia="仿宋" w:cs="仿宋"/>
          <w:color w:val="000000"/>
          <w:szCs w:val="24"/>
          <w:highlight w:val="none"/>
        </w:rPr>
        <w:t xml:space="preserve">法定代表人</w:t>
      </w:r>
      <w:r>
        <w:rPr>
          <w:rFonts w:hint="eastAsia" w:ascii="仿宋" w:hAnsi="仿宋" w:eastAsia="仿宋" w:cs="仿宋"/>
          <w:color w:val="000000"/>
          <w:szCs w:val="24"/>
          <w:highlight w:val="none"/>
          <w:lang w:val="zh-CN"/>
        </w:rPr>
        <w:t xml:space="preserve">身份证</w:t>
      </w:r>
      <w:r>
        <w:rPr>
          <w:rFonts w:hint="eastAsia" w:ascii="仿宋" w:hAnsi="仿宋" w:eastAsia="仿宋" w:cs="仿宋"/>
          <w:color w:val="000000"/>
          <w:szCs w:val="24"/>
          <w:highlight w:val="none"/>
        </w:rPr>
        <w:t xml:space="preserve">正反面复印件加盖电子公章、</w:t>
      </w:r>
      <w:r>
        <w:rPr>
          <w:rFonts w:hint="eastAsia" w:ascii="仿宋" w:hAnsi="仿宋" w:eastAsia="仿宋" w:cs="仿宋"/>
          <w:color w:val="000000"/>
          <w:szCs w:val="24"/>
          <w:highlight w:val="none"/>
          <w:lang w:val="zh-CN"/>
        </w:rPr>
        <w:t xml:space="preserve">授权委托人身份证</w:t>
      </w:r>
      <w:r>
        <w:rPr>
          <w:rFonts w:hint="eastAsia" w:ascii="仿宋" w:hAnsi="仿宋" w:eastAsia="仿宋" w:cs="仿宋"/>
          <w:color w:val="000000"/>
          <w:szCs w:val="24"/>
          <w:highlight w:val="none"/>
        </w:rPr>
        <w:t xml:space="preserve">正反面复印件加盖电子公章及社保机构出具的近半年（2025年</w:t>
      </w:r>
      <w:r>
        <w:rPr>
          <w:rFonts w:hint="eastAsia" w:ascii="仿宋" w:hAnsi="仿宋" w:eastAsia="仿宋" w:cs="仿宋"/>
          <w:color w:val="000000"/>
          <w:szCs w:val="24"/>
          <w:highlight w:val="none"/>
          <w:lang w:val="en-US" w:eastAsia="zh-CN"/>
        </w:rPr>
        <w:t xml:space="preserve">5</w:t>
      </w:r>
      <w:r>
        <w:rPr>
          <w:rFonts w:hint="eastAsia" w:ascii="仿宋" w:hAnsi="仿宋" w:eastAsia="仿宋" w:cs="仿宋"/>
          <w:color w:val="000000"/>
          <w:szCs w:val="24"/>
          <w:highlight w:val="none"/>
        </w:rPr>
        <w:t xml:space="preserve">月-2025年</w:t>
      </w:r>
      <w:r>
        <w:rPr>
          <w:rFonts w:hint="eastAsia" w:ascii="仿宋" w:hAnsi="仿宋" w:eastAsia="仿宋" w:cs="仿宋"/>
          <w:color w:val="000000"/>
          <w:szCs w:val="24"/>
          <w:highlight w:val="none"/>
          <w:lang w:val="en-US" w:eastAsia="zh-CN"/>
        </w:rPr>
        <w:t xml:space="preserve">10</w:t>
      </w:r>
      <w:r>
        <w:rPr>
          <w:rFonts w:hint="eastAsia" w:ascii="仿宋" w:hAnsi="仿宋" w:eastAsia="仿宋" w:cs="仿宋"/>
          <w:color w:val="000000"/>
          <w:szCs w:val="24"/>
          <w:highlight w:val="none"/>
        </w:rPr>
        <w:t xml:space="preserve">月）任意一个月投标申请人为授权委托人缴纳的完整的社保缴费证明（需明确缴费险种、缴费月份、个人姓名、缴费单位）材料并加盖社保中心章或社保中心参保缴费证明电子专用章，加盖社保中心参保缴费证明电子专用章的社保材料可视为原件。</w:t>
      </w:r>
      <w:r>
        <w:rPr>
          <w:rFonts w:hint="eastAsia" w:ascii="仿宋" w:hAnsi="仿宋" w:eastAsia="仿宋" w:cs="仿宋"/>
          <w:color w:val="000000"/>
          <w:szCs w:val="24"/>
          <w:highlight w:val="none"/>
        </w:rPr>
      </w:r>
      <w:r/>
    </w:p>
    <w:p>
      <w:pPr>
        <w:pStyle w:val="1047"/>
        <w:ind w:firstLine="480"/>
        <w:spacing w:line="480" w:lineRule="exact"/>
        <w:tabs>
          <w:tab w:val="left" w:pos="360" w:leader="none"/>
        </w:tabs>
        <w:rPr>
          <w:rFonts w:hint="eastAsia" w:ascii="仿宋" w:hAnsi="仿宋" w:eastAsia="仿宋" w:cs="仿宋"/>
          <w:color w:val="000000"/>
          <w:szCs w:val="24"/>
          <w:highlight w:val="none"/>
          <w:lang w:val="zh-CN"/>
        </w:rPr>
        <w:sectPr>
          <w:headerReference w:type="default" r:id="rId12"/>
          <w:footerReference w:type="default" r:id="rId20"/>
          <w:footnotePr/>
          <w:endnotePr/>
          <w:type w:val="nextPage"/>
          <w:pgSz w:w="11906" w:h="16838" w:orient="portrait"/>
          <w:pgMar w:top="1418" w:right="1418" w:bottom="1418" w:left="1418" w:header="851" w:footer="794" w:gutter="0"/>
          <w:cols w:num="1" w:sep="0" w:space="1701" w:equalWidth="1"/>
          <w:docGrid w:linePitch="360"/>
        </w:sectPr>
      </w:pPr>
      <w:r>
        <w:rPr>
          <w:rFonts w:hint="eastAsia" w:ascii="仿宋" w:hAnsi="仿宋" w:eastAsia="仿宋" w:cs="仿宋"/>
          <w:color w:val="000000"/>
          <w:szCs w:val="24"/>
          <w:highlight w:val="none"/>
          <w:lang w:val="zh-CN"/>
        </w:rPr>
      </w:r>
      <w:r/>
    </w:p>
    <w:p>
      <w:pPr>
        <w:pStyle w:val="906"/>
        <w:spacing w:before="19" w:line="360" w:lineRule="auto"/>
        <w:widowControl/>
        <w:rPr>
          <w:rFonts w:hint="eastAsia" w:ascii="仿宋" w:hAnsi="仿宋" w:eastAsia="仿宋" w:cs="仿宋"/>
          <w:b/>
          <w:bCs/>
          <w:color w:val="000000"/>
          <w:sz w:val="24"/>
          <w:szCs w:val="24"/>
          <w:highlight w:val="none"/>
        </w:rPr>
      </w:pPr>
      <w:r/>
      <w:bookmarkStart w:id="734" w:name="_Toc504044382"/>
      <w:r/>
      <w:bookmarkStart w:id="735" w:name="_Toc534273802"/>
      <w:r/>
      <w:bookmarkStart w:id="736" w:name="_Toc490133030"/>
      <w:r/>
      <w:bookmarkStart w:id="737" w:name="_Toc504056870"/>
      <w:r/>
      <w:bookmarkStart w:id="738" w:name="_Toc504573085"/>
      <w:r/>
      <w:bookmarkStart w:id="739" w:name="_Toc534273679"/>
      <w:r>
        <w:rPr>
          <w:rFonts w:hint="eastAsia" w:ascii="仿宋" w:hAnsi="仿宋" w:eastAsia="仿宋" w:cs="仿宋"/>
          <w:b/>
          <w:bCs/>
          <w:color w:val="000000"/>
          <w:sz w:val="24"/>
          <w:szCs w:val="24"/>
          <w:highlight w:val="none"/>
        </w:rPr>
        <w:t xml:space="preserve">三、报价表</w:t>
      </w:r>
      <w:bookmarkEnd w:id="734"/>
      <w:r/>
      <w:bookmarkEnd w:id="735"/>
      <w:r/>
      <w:bookmarkEnd w:id="736"/>
      <w:r/>
      <w:bookmarkEnd w:id="737"/>
      <w:r/>
      <w:bookmarkEnd w:id="738"/>
      <w:r/>
      <w:bookmarkEnd w:id="739"/>
      <w:r>
        <w:rPr>
          <w:rFonts w:hint="eastAsia" w:ascii="仿宋" w:hAnsi="仿宋" w:eastAsia="仿宋" w:cs="仿宋"/>
          <w:b/>
          <w:bCs/>
          <w:color w:val="000000"/>
          <w:sz w:val="24"/>
          <w:szCs w:val="24"/>
          <w:highlight w:val="none"/>
        </w:rPr>
      </w:r>
      <w:r/>
    </w:p>
    <w:p>
      <w:pPr>
        <w:pStyle w:val="906"/>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pStyle w:val="906"/>
        <w:ind w:firstLine="643"/>
        <w:jc w:val="center"/>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磋商报价表（第   轮）</w:t>
      </w:r>
      <w:r>
        <w:rPr>
          <w:rFonts w:hint="eastAsia" w:ascii="仿宋" w:hAnsi="仿宋" w:eastAsia="仿宋" w:cs="仿宋"/>
          <w:b/>
          <w:color w:val="000000"/>
          <w:sz w:val="24"/>
          <w:szCs w:val="24"/>
          <w:highlight w:val="none"/>
        </w:rPr>
      </w:r>
      <w:r/>
    </w:p>
    <w:p>
      <w:pPr>
        <w:pStyle w:val="906"/>
        <w:jc w:val="center"/>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r>
      <w:r/>
    </w:p>
    <w:p>
      <w:pPr>
        <w:pStyle w:val="921"/>
        <w:ind w:firstLine="5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                                         项目编号：</w:t>
      </w:r>
      <w:r>
        <w:rPr>
          <w:rFonts w:hint="eastAsia" w:ascii="仿宋" w:hAnsi="仿宋" w:eastAsia="仿宋" w:cs="仿宋"/>
          <w:color w:val="000000"/>
          <w:sz w:val="24"/>
          <w:szCs w:val="24"/>
          <w:highlight w:val="none"/>
        </w:rPr>
      </w:r>
      <w:r/>
    </w:p>
    <w:tbl>
      <w:tblPr>
        <w:tblW w:w="8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45"/>
        <w:gridCol w:w="1899"/>
      </w:tblGrid>
      <w:tr>
        <w:trPr>
          <w:trHeight w:val="829"/>
        </w:trPr>
        <w:tc>
          <w:tcPr>
            <w:tcW w:w="1870" w:type="dxa"/>
            <w:vAlign w:val="center"/>
            <w:textDirection w:val="lrTb"/>
            <w:noWrap w:val="false"/>
          </w:tcPr>
          <w:p>
            <w:pPr>
              <w:pStyle w:val="921"/>
              <w:ind w:firstLine="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磋商报价</w:t>
            </w:r>
            <w:r>
              <w:rPr>
                <w:rFonts w:hint="eastAsia" w:ascii="仿宋" w:hAnsi="仿宋" w:eastAsia="仿宋" w:cs="仿宋"/>
                <w:color w:val="000000"/>
                <w:sz w:val="24"/>
                <w:szCs w:val="24"/>
                <w:highlight w:val="none"/>
              </w:rPr>
            </w:r>
            <w:r/>
          </w:p>
        </w:tc>
        <w:tc>
          <w:tcPr>
            <w:tcW w:w="5145" w:type="dxa"/>
            <w:vAlign w:val="center"/>
            <w:textDirection w:val="lrTb"/>
            <w:noWrap w:val="false"/>
          </w:tcPr>
          <w:p>
            <w:pPr>
              <w:pStyle w:val="921"/>
              <w:ind w:firstLine="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21"/>
              <w:ind w:firstLine="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1"/>
              <w:ind w:firstLine="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1899" w:type="dxa"/>
            <w:vAlign w:val="center"/>
            <w:textDirection w:val="lrTb"/>
            <w:noWrap w:val="false"/>
          </w:tcPr>
          <w:p>
            <w:pPr>
              <w:pStyle w:val="921"/>
              <w:ind w:firstLine="5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1425"/>
        </w:trPr>
        <w:tc>
          <w:tcPr>
            <w:tcW w:w="1870" w:type="dxa"/>
            <w:vAlign w:val="center"/>
            <w:textDirection w:val="lrTb"/>
            <w:noWrap w:val="false"/>
          </w:tcPr>
          <w:p>
            <w:pPr>
              <w:pStyle w:val="921"/>
              <w:ind w:firstLine="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rPr>
            </w:r>
            <w:r/>
          </w:p>
          <w:p>
            <w:pPr>
              <w:pStyle w:val="921"/>
              <w:ind w:firstLine="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（工期）</w:t>
            </w:r>
            <w:r>
              <w:rPr>
                <w:rFonts w:hint="eastAsia" w:ascii="仿宋" w:hAnsi="仿宋" w:eastAsia="仿宋" w:cs="仿宋"/>
                <w:color w:val="000000"/>
                <w:sz w:val="24"/>
                <w:szCs w:val="24"/>
                <w:highlight w:val="none"/>
              </w:rPr>
            </w:r>
            <w:r/>
          </w:p>
        </w:tc>
        <w:tc>
          <w:tcPr>
            <w:tcW w:w="5145" w:type="dxa"/>
            <w:vAlign w:val="center"/>
            <w:textDirection w:val="lrTb"/>
            <w:noWrap w:val="false"/>
          </w:tcPr>
          <w:p>
            <w:pPr>
              <w:pStyle w:val="921"/>
              <w:ind w:firstLine="0"/>
              <w:spacing w:line="440" w:lineRule="exact"/>
              <w:tabs>
                <w:tab w:val="left" w:pos="362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个日历天施工完成并验收合格。</w:t>
            </w:r>
            <w:r>
              <w:rPr>
                <w:rFonts w:hint="eastAsia" w:ascii="仿宋" w:hAnsi="仿宋" w:eastAsia="仿宋" w:cs="仿宋"/>
                <w:color w:val="000000"/>
                <w:sz w:val="24"/>
                <w:szCs w:val="24"/>
                <w:highlight w:val="none"/>
              </w:rPr>
            </w:r>
            <w:r/>
          </w:p>
        </w:tc>
        <w:tc>
          <w:tcPr>
            <w:tcW w:w="1899" w:type="dxa"/>
            <w:vAlign w:val="center"/>
            <w:textDirection w:val="lrTb"/>
            <w:noWrap w:val="false"/>
          </w:tcPr>
          <w:p>
            <w:pPr>
              <w:pStyle w:val="921"/>
              <w:ind w:firstLine="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50"/>
        </w:trPr>
        <w:tc>
          <w:tcPr>
            <w:tcW w:w="1870" w:type="dxa"/>
            <w:vAlign w:val="center"/>
            <w:textDirection w:val="lrTb"/>
            <w:noWrap w:val="false"/>
          </w:tcPr>
          <w:p>
            <w:pPr>
              <w:pStyle w:val="921"/>
              <w:ind w:firstLine="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5145" w:type="dxa"/>
            <w:vAlign w:val="center"/>
            <w:textDirection w:val="lrTb"/>
            <w:noWrap w:val="false"/>
          </w:tcPr>
          <w:p>
            <w:pPr>
              <w:pStyle w:val="921"/>
              <w:ind w:firstLine="0"/>
              <w:spacing w:line="440" w:lineRule="exact"/>
              <w:tabs>
                <w:tab w:val="left" w:pos="3624"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tc>
        <w:tc>
          <w:tcPr>
            <w:tcW w:w="1899" w:type="dxa"/>
            <w:vAlign w:val="center"/>
            <w:textDirection w:val="lrTb"/>
            <w:noWrap w:val="false"/>
          </w:tcPr>
          <w:p>
            <w:pPr>
              <w:pStyle w:val="921"/>
              <w:ind w:firstLine="5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05"/>
        </w:trPr>
        <w:tc>
          <w:tcPr>
            <w:tcW w:w="1870" w:type="dxa"/>
            <w:vAlign w:val="center"/>
            <w:textDirection w:val="lrTb"/>
            <w:noWrap w:val="false"/>
          </w:tcPr>
          <w:p>
            <w:pPr>
              <w:pStyle w:val="906"/>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是否小微企业             </w:t>
            </w:r>
            <w:r>
              <w:rPr>
                <w:rFonts w:hint="eastAsia" w:ascii="仿宋" w:hAnsi="仿宋" w:eastAsia="仿宋" w:cs="仿宋"/>
                <w:color w:val="000000"/>
                <w:sz w:val="24"/>
                <w:szCs w:val="24"/>
                <w:highlight w:val="none"/>
              </w:rPr>
            </w:r>
            <w:r/>
          </w:p>
        </w:tc>
        <w:tc>
          <w:tcPr>
            <w:tcW w:w="5145" w:type="dxa"/>
            <w:vAlign w:val="center"/>
            <w:textDirection w:val="lrTb"/>
            <w:noWrap w:val="false"/>
          </w:tcPr>
          <w:p>
            <w:pPr>
              <w:pStyle w:val="906"/>
              <w:spacing w:line="3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是  </w:t>
            </w: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  否</w:t>
            </w:r>
            <w:r>
              <w:rPr>
                <w:rFonts w:hint="eastAsia" w:ascii="仿宋" w:hAnsi="仿宋" w:eastAsia="仿宋" w:cs="仿宋"/>
                <w:color w:val="000000"/>
                <w:sz w:val="24"/>
                <w:szCs w:val="24"/>
                <w:highlight w:val="none"/>
                <w:u w:val="single"/>
              </w:rPr>
            </w:r>
            <w:r/>
          </w:p>
        </w:tc>
        <w:tc>
          <w:tcPr>
            <w:tcW w:w="1899" w:type="dxa"/>
            <w:vAlign w:val="center"/>
            <w:textDirection w:val="lrTb"/>
            <w:noWrap w:val="false"/>
          </w:tcPr>
          <w:p>
            <w:pPr>
              <w:pStyle w:val="921"/>
              <w:ind w:firstLine="5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1"/>
              <w:ind w:firstLine="5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50"/>
        </w:trPr>
        <w:tc>
          <w:tcPr>
            <w:tcW w:w="1870" w:type="dxa"/>
            <w:vAlign w:val="center"/>
            <w:textDirection w:val="lrTb"/>
            <w:noWrap w:val="false"/>
          </w:tcPr>
          <w:p>
            <w:pPr>
              <w:pStyle w:val="906"/>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是否属于监狱企业</w:t>
            </w:r>
            <w:r>
              <w:rPr>
                <w:rFonts w:hint="eastAsia" w:ascii="仿宋" w:hAnsi="仿宋" w:eastAsia="仿宋" w:cs="仿宋"/>
                <w:color w:val="000000"/>
                <w:sz w:val="24"/>
                <w:szCs w:val="24"/>
                <w:highlight w:val="none"/>
              </w:rPr>
            </w:r>
            <w:r/>
          </w:p>
        </w:tc>
        <w:tc>
          <w:tcPr>
            <w:tcW w:w="5145" w:type="dxa"/>
            <w:vAlign w:val="center"/>
            <w:textDirection w:val="lrTb"/>
            <w:noWrap w:val="false"/>
          </w:tcPr>
          <w:p>
            <w:pPr>
              <w:pStyle w:val="906"/>
              <w:ind w:firstLine="117"/>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是  </w:t>
            </w: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  否</w:t>
            </w:r>
            <w:r>
              <w:rPr>
                <w:rFonts w:hint="eastAsia" w:ascii="仿宋" w:hAnsi="仿宋" w:eastAsia="仿宋" w:cs="仿宋"/>
                <w:color w:val="000000"/>
                <w:sz w:val="24"/>
                <w:szCs w:val="24"/>
                <w:highlight w:val="none"/>
              </w:rPr>
            </w:r>
            <w:r/>
          </w:p>
        </w:tc>
        <w:tc>
          <w:tcPr>
            <w:tcW w:w="1899" w:type="dxa"/>
            <w:vAlign w:val="center"/>
            <w:textDirection w:val="lrTb"/>
            <w:noWrap w:val="false"/>
          </w:tcPr>
          <w:p>
            <w:pPr>
              <w:pStyle w:val="921"/>
              <w:ind w:firstLine="5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50"/>
        </w:trPr>
        <w:tc>
          <w:tcPr>
            <w:tcW w:w="1870" w:type="dxa"/>
            <w:vAlign w:val="center"/>
            <w:textDirection w:val="lrTb"/>
            <w:noWrap w:val="false"/>
          </w:tcPr>
          <w:p>
            <w:pPr>
              <w:pStyle w:val="906"/>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是否属于残疾人福利性单位</w:t>
            </w:r>
            <w:r>
              <w:rPr>
                <w:rFonts w:hint="eastAsia" w:ascii="仿宋" w:hAnsi="仿宋" w:eastAsia="仿宋" w:cs="仿宋"/>
                <w:color w:val="000000"/>
                <w:sz w:val="24"/>
                <w:szCs w:val="24"/>
                <w:highlight w:val="none"/>
              </w:rPr>
            </w:r>
            <w:r/>
          </w:p>
        </w:tc>
        <w:tc>
          <w:tcPr>
            <w:tcW w:w="5145" w:type="dxa"/>
            <w:vAlign w:val="center"/>
            <w:textDirection w:val="lrTb"/>
            <w:noWrap w:val="false"/>
          </w:tcPr>
          <w:p>
            <w:pPr>
              <w:pStyle w:val="906"/>
              <w:ind w:firstLine="117"/>
              <w:spacing w:line="3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是  </w:t>
            </w: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  否</w:t>
            </w:r>
            <w:r>
              <w:rPr>
                <w:rFonts w:hint="eastAsia" w:ascii="仿宋" w:hAnsi="仿宋" w:eastAsia="仿宋" w:cs="仿宋"/>
                <w:color w:val="000000"/>
                <w:sz w:val="24"/>
                <w:szCs w:val="24"/>
                <w:highlight w:val="none"/>
                <w:u w:val="single"/>
              </w:rPr>
            </w:r>
            <w:r/>
          </w:p>
        </w:tc>
        <w:tc>
          <w:tcPr>
            <w:tcW w:w="1899" w:type="dxa"/>
            <w:vAlign w:val="center"/>
            <w:textDirection w:val="lrTb"/>
            <w:noWrap w:val="false"/>
          </w:tcPr>
          <w:p>
            <w:pPr>
              <w:pStyle w:val="921"/>
              <w:ind w:firstLine="5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jc w:val="righ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906"/>
        <w:ind w:firstLine="480"/>
        <w:jc w:val="left"/>
        <w:spacing w:line="360" w:lineRule="auto"/>
        <w:shd w:val="clear" w:color="auto" w:fill="ffffff"/>
        <w:widowControl/>
        <w:rPr>
          <w:rFonts w:hint="eastAsia" w:ascii="仿宋" w:hAnsi="仿宋" w:eastAsia="仿宋" w:cs="仿宋"/>
          <w:color w:val="000000"/>
          <w:sz w:val="24"/>
          <w:szCs w:val="24"/>
          <w:highlight w:val="none"/>
          <w:shd w:val="clear" w:color="auto" w:fill="ffffff"/>
        </w:rPr>
      </w:pPr>
      <w:r/>
      <w:bookmarkStart w:id="740" w:name="_Toc504044383"/>
      <w:r/>
      <w:bookmarkStart w:id="741" w:name="_Toc534273680"/>
      <w:r/>
      <w:bookmarkStart w:id="742" w:name="_Toc490133031"/>
      <w:r/>
      <w:bookmarkStart w:id="743" w:name="_Toc534273803"/>
      <w:r/>
      <w:bookmarkStart w:id="744" w:name="_Toc504056871"/>
      <w:r/>
      <w:bookmarkStart w:id="745" w:name="_Toc504573086"/>
      <w:r>
        <w:rPr>
          <w:rFonts w:hint="eastAsia" w:ascii="仿宋" w:hAnsi="仿宋" w:eastAsia="仿宋" w:cs="仿宋"/>
          <w:color w:val="000000"/>
          <w:sz w:val="24"/>
          <w:szCs w:val="24"/>
          <w:highlight w:val="none"/>
          <w:shd w:val="clear" w:color="auto" w:fill="ffffff"/>
        </w:rPr>
        <w:t xml:space="preserve">1、供应商报价低于采购项目预算 50%，或者低于采购项目最高限价45%，或者报价过低，有可能影响产品或服务质量或不能诚信履约的，磋商小组将启动异常低价投标审查机制，供应商应在磋商小组规定的合理时间内通过苏采云系统提供项目具体成本测算等与报价合理性相关的书面说明及相关证明材料。供应商不提供书面说明及证明材料，或者书面说明、证明材料不能证明其报价合理性的，将作为无效响应处理。详见苏财购〔2025〕62号《关于推动解决政府采购异常低价问题相关工作的通知》。</w:t>
      </w:r>
      <w:r>
        <w:rPr>
          <w:rFonts w:hint="eastAsia" w:ascii="仿宋" w:hAnsi="仿宋" w:eastAsia="仿宋" w:cs="仿宋"/>
          <w:color w:val="000000"/>
          <w:sz w:val="24"/>
          <w:szCs w:val="24"/>
          <w:highlight w:val="none"/>
          <w:shd w:val="clear" w:color="auto" w:fill="ffffff"/>
        </w:rPr>
      </w:r>
      <w:r/>
    </w:p>
    <w:p>
      <w:pPr>
        <w:pStyle w:val="997"/>
        <w:ind w:firstLine="480"/>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★2、供应商第1轮报价超过本项目最高限价的作无效标处理。</w:t>
      </w:r>
      <w:r>
        <w:rPr>
          <w:rFonts w:hint="eastAsia" w:ascii="仿宋" w:hAnsi="仿宋" w:eastAsia="仿宋" w:cs="仿宋"/>
          <w:color w:val="000000"/>
          <w:sz w:val="24"/>
          <w:szCs w:val="24"/>
          <w:highlight w:val="none"/>
          <w:shd w:val="clear" w:color="auto" w:fill="ffffff"/>
        </w:rPr>
      </w:r>
      <w:r/>
    </w:p>
    <w:p>
      <w:pPr>
        <w:pStyle w:val="906"/>
        <w:spacing w:line="360" w:lineRule="auto"/>
        <w:tabs>
          <w:tab w:val="left" w:pos="1440" w:leader="none"/>
        </w:tabs>
        <w:rPr>
          <w:rFonts w:hint="eastAsia" w:ascii="仿宋" w:hAnsi="仿宋" w:eastAsia="仿宋" w:cs="仿宋"/>
          <w:b/>
          <w:color w:val="000000"/>
          <w:sz w:val="24"/>
          <w:szCs w:val="24"/>
          <w:highlight w:val="none"/>
        </w:rPr>
      </w:pPr>
      <w:r/>
      <w:bookmarkEnd w:id="740"/>
      <w:r/>
      <w:bookmarkEnd w:id="741"/>
      <w:r/>
      <w:bookmarkEnd w:id="742"/>
      <w:r/>
      <w:bookmarkEnd w:id="743"/>
      <w:r/>
      <w:bookmarkEnd w:id="744"/>
      <w:r/>
      <w:bookmarkEnd w:id="745"/>
      <w:r>
        <w:rPr>
          <w:rFonts w:hint="eastAsia" w:ascii="仿宋" w:hAnsi="仿宋" w:eastAsia="仿宋" w:cs="仿宋"/>
          <w:b/>
          <w:color w:val="000000"/>
          <w:sz w:val="24"/>
          <w:szCs w:val="24"/>
          <w:highlight w:val="none"/>
        </w:rPr>
        <w:t xml:space="preserve">四、已标价工程量清单</w:t>
      </w:r>
      <w:r>
        <w:rPr>
          <w:rFonts w:hint="eastAsia" w:ascii="仿宋" w:hAnsi="仿宋" w:eastAsia="仿宋" w:cs="仿宋"/>
          <w:b/>
          <w:color w:val="000000"/>
          <w:sz w:val="24"/>
          <w:szCs w:val="24"/>
          <w:highlight w:val="none"/>
        </w:rPr>
      </w:r>
      <w:r/>
    </w:p>
    <w:p>
      <w:pPr>
        <w:pStyle w:val="906"/>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pStyle w:val="906"/>
        <w:jc w:val="center"/>
        <w:spacing w:line="360" w:lineRule="auto"/>
        <w:shd w:val="clear" w:color="auto" w:fill="ffffff"/>
        <w:widowControl/>
        <w:rPr>
          <w:rFonts w:hint="eastAsia" w:ascii="仿宋" w:hAnsi="仿宋" w:eastAsia="仿宋" w:cs="仿宋"/>
          <w:b/>
          <w:color w:val="000000"/>
          <w:sz w:val="24"/>
          <w:szCs w:val="24"/>
          <w:highlight w:val="none"/>
        </w:rPr>
      </w:pPr>
      <w:r/>
      <w:bookmarkStart w:id="746" w:name="_Toc490133032"/>
      <w:r/>
      <w:bookmarkStart w:id="747" w:name="_Toc504056872"/>
      <w:r/>
      <w:bookmarkStart w:id="748" w:name="_Toc504044384"/>
      <w:r/>
      <w:bookmarkStart w:id="749" w:name="_Toc534273805"/>
      <w:r/>
      <w:bookmarkStart w:id="750" w:name="_Toc534273681"/>
      <w:r/>
      <w:bookmarkStart w:id="751" w:name="_Toc534273682"/>
      <w:r/>
      <w:bookmarkStart w:id="752" w:name="_Toc504573087"/>
      <w:r/>
      <w:bookmarkStart w:id="753" w:name="_Toc534273804"/>
      <w:r>
        <w:rPr>
          <w:rFonts w:hint="eastAsia" w:ascii="仿宋" w:hAnsi="仿宋" w:eastAsia="仿宋" w:cs="仿宋"/>
          <w:b/>
          <w:color w:val="000000"/>
          <w:sz w:val="24"/>
          <w:szCs w:val="24"/>
          <w:highlight w:val="none"/>
        </w:rPr>
      </w:r>
      <w:r/>
    </w:p>
    <w:p>
      <w:pPr>
        <w:pStyle w:val="906"/>
        <w:jc w:val="center"/>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已标价工程量清单</w:t>
      </w:r>
      <w:r>
        <w:rPr>
          <w:rFonts w:hint="eastAsia" w:ascii="仿宋" w:hAnsi="仿宋" w:eastAsia="仿宋" w:cs="仿宋"/>
          <w:b/>
          <w:color w:val="000000"/>
          <w:sz w:val="24"/>
          <w:szCs w:val="24"/>
          <w:highlight w:val="none"/>
        </w:rPr>
      </w:r>
      <w:r/>
    </w:p>
    <w:p>
      <w:pPr>
        <w:pStyle w:val="906"/>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(如无法获取工程量清单请及时与代理公司联系)</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80"/>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此报价表必须提供，其他价格表，请供应商根据采购文件中工程量清单进行组价并详列，且按规定的工程量清单计价规范格式提供。填写的项目编码、项目名称、项目特征、计量单位、工程量必须与采购人提供的一致。</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spacing w:before="19" w:line="360" w:lineRule="auto"/>
        <w:widowControl/>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五、商务条款偏离表格式</w:t>
      </w:r>
      <w:r>
        <w:rPr>
          <w:rFonts w:hint="eastAsia" w:ascii="仿宋" w:hAnsi="仿宋" w:eastAsia="仿宋" w:cs="仿宋"/>
          <w:b/>
          <w:color w:val="000000"/>
          <w:sz w:val="24"/>
          <w:szCs w:val="24"/>
          <w:highlight w:val="none"/>
        </w:rPr>
      </w:r>
      <w:r/>
    </w:p>
    <w:p>
      <w:pPr>
        <w:pStyle w:val="906"/>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jc w:val="center"/>
        <w:spacing w:before="240"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商务条款偏离表</w:t>
      </w:r>
      <w:r>
        <w:rPr>
          <w:rFonts w:hint="eastAsia" w:ascii="仿宋" w:hAnsi="仿宋" w:eastAsia="仿宋" w:cs="仿宋"/>
          <w:b/>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06"/>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06"/>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 </w:t>
            </w:r>
            <w:r>
              <w:rPr>
                <w:rFonts w:hint="eastAsia" w:ascii="仿宋" w:hAnsi="仿宋" w:eastAsia="仿宋" w:cs="仿宋"/>
                <w:color w:val="000000"/>
                <w:sz w:val="24"/>
                <w:szCs w:val="24"/>
                <w:highlight w:val="none"/>
                <w:lang w:val="zh-CN"/>
              </w:rPr>
            </w:r>
            <w:r/>
          </w:p>
        </w:tc>
      </w:tr>
      <w:tr>
        <w:trPr>
          <w:trHeight w:val="6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采购文件要求的商务条款</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偏离说明</w:t>
            </w:r>
            <w:r>
              <w:rPr>
                <w:rFonts w:hint="eastAsia" w:ascii="仿宋" w:hAnsi="仿宋" w:eastAsia="仿宋" w:cs="仿宋"/>
                <w:color w:val="000000"/>
                <w:sz w:val="24"/>
                <w:szCs w:val="24"/>
                <w:highlight w:val="none"/>
                <w:lang w:val="zh-CN"/>
              </w:rPr>
            </w:r>
            <w:r/>
          </w:p>
        </w:tc>
      </w:tr>
      <w:tr>
        <w:trPr>
          <w:trHeight w:val="59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7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7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4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9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bl>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06"/>
        <w:jc w:val="left"/>
        <w:spacing w:line="360" w:lineRule="auto"/>
        <w:shd w:val="clear" w:color="auto" w:fill="ffffff"/>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06"/>
        <w:jc w:val="left"/>
        <w:spacing w:line="360" w:lineRule="auto"/>
        <w:shd w:val="clear" w:color="auto" w:fill="ffffff"/>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06"/>
        <w:jc w:val="left"/>
        <w:spacing w:line="360" w:lineRule="auto"/>
        <w:shd w:val="clear" w:color="auto" w:fill="ffffff"/>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06"/>
        <w:spacing w:before="19" w:line="360" w:lineRule="auto"/>
        <w:widowControl/>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六、技术条款偏离表格式</w:t>
      </w:r>
      <w:bookmarkEnd w:id="746"/>
      <w:r/>
      <w:bookmarkEnd w:id="747"/>
      <w:r/>
      <w:bookmarkEnd w:id="748"/>
      <w:r/>
      <w:bookmarkEnd w:id="749"/>
      <w:r/>
      <w:bookmarkEnd w:id="750"/>
      <w:r/>
      <w:bookmarkEnd w:id="751"/>
      <w:r/>
      <w:bookmarkEnd w:id="752"/>
      <w:r/>
      <w:bookmarkEnd w:id="753"/>
      <w:r>
        <w:rPr>
          <w:rFonts w:hint="eastAsia" w:ascii="仿宋" w:hAnsi="仿宋" w:eastAsia="仿宋" w:cs="仿宋"/>
          <w:b/>
          <w:color w:val="000000"/>
          <w:sz w:val="24"/>
          <w:szCs w:val="24"/>
          <w:highlight w:val="none"/>
        </w:rPr>
      </w:r>
      <w:r/>
    </w:p>
    <w:p>
      <w:pPr>
        <w:pStyle w:val="906"/>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jc w:val="center"/>
        <w:spacing w:before="240"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技术条款偏离表</w:t>
      </w:r>
      <w:r>
        <w:rPr>
          <w:rFonts w:hint="eastAsia" w:ascii="仿宋" w:hAnsi="仿宋" w:eastAsia="仿宋" w:cs="仿宋"/>
          <w:b/>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06"/>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06"/>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 </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采购文件要求的</w:t>
            </w:r>
            <w:r>
              <w:rPr>
                <w:rFonts w:hint="eastAsia" w:ascii="仿宋" w:hAnsi="仿宋" w:eastAsia="仿宋" w:cs="仿宋"/>
                <w:color w:val="000000"/>
                <w:sz w:val="24"/>
                <w:szCs w:val="24"/>
                <w:highlight w:val="none"/>
              </w:rPr>
              <w:t xml:space="preserve">技术</w:t>
            </w:r>
            <w:r>
              <w:rPr>
                <w:rFonts w:hint="eastAsia" w:ascii="仿宋" w:hAnsi="仿宋" w:eastAsia="仿宋" w:cs="仿宋"/>
                <w:color w:val="000000"/>
                <w:sz w:val="24"/>
                <w:szCs w:val="24"/>
                <w:highlight w:val="none"/>
                <w:lang w:val="zh-CN"/>
              </w:rPr>
              <w:t xml:space="preserve">条款</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偏离说明</w:t>
            </w:r>
            <w:r>
              <w:rPr>
                <w:rFonts w:hint="eastAsia" w:ascii="仿宋" w:hAnsi="仿宋" w:eastAsia="仿宋" w:cs="仿宋"/>
                <w:color w:val="000000"/>
                <w:sz w:val="24"/>
                <w:szCs w:val="24"/>
                <w:highlight w:val="none"/>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50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7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06"/>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bl>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bookmarkStart w:id="754" w:name="_Toc504056873"/>
      <w:r/>
      <w:bookmarkStart w:id="755" w:name="_Toc504573088"/>
      <w:r/>
      <w:bookmarkStart w:id="756" w:name="_Toc504044385"/>
      <w:r/>
      <w:bookmarkStart w:id="757" w:name="_Toc490133033"/>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before="19" w:line="360" w:lineRule="auto"/>
        <w:widowControl/>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bookmarkEnd w:id="754"/>
      <w:r/>
      <w:bookmarkEnd w:id="755"/>
      <w:r/>
      <w:bookmarkEnd w:id="756"/>
      <w:r/>
      <w:bookmarkEnd w:id="757"/>
      <w:r/>
      <w:bookmarkStart w:id="758" w:name="_Toc504573089"/>
      <w:r/>
      <w:bookmarkStart w:id="759" w:name="_Toc490133034"/>
      <w:r/>
      <w:bookmarkStart w:id="760" w:name="_Toc504044386"/>
      <w:r/>
      <w:bookmarkStart w:id="761" w:name="_Toc504056874"/>
      <w:r/>
      <w:bookmarkStart w:id="762" w:name="_Toc534273806"/>
      <w:r/>
      <w:bookmarkStart w:id="763" w:name="_Toc534273683"/>
      <w:r>
        <w:rPr>
          <w:rFonts w:hint="eastAsia" w:ascii="仿宋" w:hAnsi="仿宋" w:eastAsia="仿宋" w:cs="仿宋"/>
          <w:b/>
          <w:bCs/>
          <w:color w:val="000000"/>
          <w:sz w:val="24"/>
          <w:szCs w:val="24"/>
          <w:highlight w:val="none"/>
        </w:rPr>
        <w:t xml:space="preserve">七、拟参与本项目人员一览表</w:t>
      </w:r>
      <w:bookmarkEnd w:id="758"/>
      <w:r/>
      <w:bookmarkEnd w:id="759"/>
      <w:r/>
      <w:bookmarkEnd w:id="760"/>
      <w:r/>
      <w:bookmarkEnd w:id="761"/>
      <w:r/>
      <w:bookmarkEnd w:id="762"/>
      <w:r/>
      <w:bookmarkEnd w:id="763"/>
      <w:r>
        <w:rPr>
          <w:rFonts w:hint="eastAsia" w:ascii="仿宋" w:hAnsi="仿宋" w:eastAsia="仿宋" w:cs="仿宋"/>
          <w:b/>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ind w:left="420"/>
        <w:jc w:val="center"/>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拟参与本项目服务人员一览表</w:t>
      </w:r>
      <w:r>
        <w:rPr>
          <w:rFonts w:hint="eastAsia" w:ascii="仿宋" w:hAnsi="仿宋" w:eastAsia="仿宋" w:cs="仿宋"/>
          <w:b/>
          <w:color w:val="000000"/>
          <w:sz w:val="24"/>
          <w:szCs w:val="24"/>
          <w:highlight w:val="none"/>
        </w:rPr>
      </w:r>
      <w:r/>
    </w:p>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                                 项目编号：</w:t>
      </w:r>
      <w:r>
        <w:rPr>
          <w:rFonts w:hint="eastAsia" w:ascii="仿宋" w:hAnsi="仿宋" w:eastAsia="仿宋" w:cs="仿宋"/>
          <w:color w:val="000000"/>
          <w:sz w:val="24"/>
          <w:szCs w:val="24"/>
          <w:highlight w:val="none"/>
        </w:rPr>
      </w:r>
      <w:r/>
    </w:p>
    <w:tbl>
      <w:tblPr>
        <w:tblW w:w="97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1920"/>
        <w:gridCol w:w="663"/>
        <w:gridCol w:w="709"/>
        <w:gridCol w:w="801"/>
        <w:gridCol w:w="801"/>
        <w:gridCol w:w="1020"/>
        <w:gridCol w:w="831"/>
        <w:gridCol w:w="769"/>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姓名</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性别</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年龄</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专业</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学历</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执业</w:t>
            </w:r>
            <w:r>
              <w:rPr>
                <w:rFonts w:hint="eastAsia" w:ascii="仿宋" w:hAnsi="仿宋" w:eastAsia="仿宋" w:cs="仿宋"/>
                <w:b/>
                <w:bCs/>
                <w:color w:val="000000"/>
                <w:sz w:val="24"/>
                <w:szCs w:val="24"/>
                <w:highlight w:val="none"/>
              </w:rPr>
            </w:r>
            <w:r/>
          </w:p>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资格</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证书号</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技术职称</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相关工作年限</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6"/>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备注</w:t>
            </w:r>
            <w:r>
              <w:rPr>
                <w:rFonts w:hint="eastAsia" w:ascii="仿宋" w:hAnsi="仿宋" w:eastAsia="仿宋" w:cs="仿宋"/>
                <w:b/>
                <w:bCs/>
                <w:color w:val="000000"/>
                <w:sz w:val="24"/>
                <w:szCs w:val="24"/>
                <w:highlight w:val="none"/>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主要管理人员</w:t>
            </w: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技术负责人</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专业技术人员</w:t>
            </w: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…专业负责人</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…专业负责人</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20" w:type="dxa"/>
            <w:vAlign w:val="top"/>
            <w:textDirection w:val="lrTb"/>
            <w:noWrap w:val="false"/>
          </w:tcPr>
          <w:p>
            <w:pPr>
              <w:pStyle w:val="90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3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6"/>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注：1、按磋商文件要求及</w:t>
      </w:r>
      <w:r>
        <w:rPr>
          <w:rFonts w:hint="eastAsia" w:ascii="仿宋" w:hAnsi="仿宋" w:eastAsia="仿宋" w:cs="仿宋"/>
          <w:color w:val="000000"/>
          <w:sz w:val="24"/>
          <w:szCs w:val="24"/>
          <w:highlight w:val="none"/>
        </w:rPr>
        <w:t xml:space="preserve">评标标准的要求，提供人员证书等，附后。</w:t>
      </w:r>
      <w:r>
        <w:rPr>
          <w:rFonts w:hint="eastAsia" w:ascii="仿宋" w:hAnsi="仿宋" w:eastAsia="仿宋" w:cs="仿宋"/>
          <w:color w:val="000000"/>
          <w:sz w:val="24"/>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2、“备注”栏，可填写该人员擅长的工程（或工作）种类；</w:t>
      </w:r>
      <w:r>
        <w:rPr>
          <w:rFonts w:hint="eastAsia" w:ascii="仿宋" w:hAnsi="仿宋" w:eastAsia="仿宋" w:cs="仿宋"/>
          <w:color w:val="000000"/>
          <w:szCs w:val="24"/>
          <w:highlight w:val="none"/>
        </w:rPr>
      </w:r>
      <w:r/>
    </w:p>
    <w:p>
      <w:pPr>
        <w:pStyle w:val="99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3、如果行数不够，请自行增加。</w:t>
      </w:r>
      <w:r>
        <w:rPr>
          <w:rFonts w:hint="eastAsia" w:ascii="仿宋" w:hAnsi="仿宋" w:eastAsia="仿宋" w:cs="仿宋"/>
          <w:color w:val="000000"/>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06"/>
        <w:spacing w:before="19"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br w:type="page" w:clear="all"/>
      </w:r>
      <w:bookmarkStart w:id="764" w:name="_Toc504056875"/>
      <w:r/>
      <w:bookmarkStart w:id="765" w:name="_Toc534273807"/>
      <w:r/>
      <w:bookmarkStart w:id="766" w:name="_Toc504573090"/>
      <w:r/>
      <w:bookmarkStart w:id="767" w:name="_Toc504044387"/>
      <w:r/>
      <w:bookmarkStart w:id="768" w:name="_Toc490133035"/>
      <w:r/>
      <w:bookmarkStart w:id="769" w:name="_Toc534273684"/>
      <w:r>
        <w:rPr>
          <w:rFonts w:hint="eastAsia" w:ascii="仿宋" w:hAnsi="仿宋" w:eastAsia="仿宋" w:cs="仿宋"/>
          <w:b/>
          <w:bCs/>
          <w:color w:val="000000"/>
          <w:sz w:val="24"/>
          <w:szCs w:val="24"/>
          <w:highlight w:val="none"/>
        </w:rPr>
        <w:t xml:space="preserve">八、 供应商类似业绩情况表</w:t>
      </w:r>
      <w:bookmarkEnd w:id="764"/>
      <w:r/>
      <w:bookmarkEnd w:id="765"/>
      <w:r/>
      <w:bookmarkEnd w:id="766"/>
      <w:r/>
      <w:bookmarkEnd w:id="767"/>
      <w:r/>
      <w:bookmarkEnd w:id="768"/>
      <w:r/>
      <w:bookmarkEnd w:id="769"/>
      <w:r>
        <w:rPr>
          <w:rFonts w:hint="eastAsia" w:ascii="仿宋" w:hAnsi="仿宋" w:eastAsia="仿宋" w:cs="仿宋"/>
          <w:b/>
          <w:bCs/>
          <w:color w:val="000000"/>
          <w:sz w:val="24"/>
          <w:szCs w:val="24"/>
          <w:highlight w:val="none"/>
        </w:rPr>
        <w:t xml:space="preserve">（及证明材料）</w:t>
      </w:r>
      <w:r>
        <w:rPr>
          <w:rFonts w:hint="eastAsia" w:ascii="仿宋" w:hAnsi="仿宋" w:eastAsia="仿宋" w:cs="仿宋"/>
          <w:b/>
          <w:bCs/>
          <w:color w:val="000000"/>
          <w:sz w:val="24"/>
          <w:szCs w:val="24"/>
          <w:highlight w:val="none"/>
        </w:rPr>
      </w:r>
      <w:r/>
    </w:p>
    <w:p>
      <w:pPr>
        <w:pStyle w:val="906"/>
        <w:jc w:val="center"/>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供应商类似业绩情况表</w:t>
      </w:r>
      <w:r>
        <w:rPr>
          <w:rFonts w:hint="eastAsia" w:ascii="仿宋" w:hAnsi="仿宋" w:eastAsia="仿宋" w:cs="仿宋"/>
          <w:b/>
          <w:bCs/>
          <w:color w:val="000000"/>
          <w:sz w:val="24"/>
          <w:szCs w:val="24"/>
          <w:highlight w:val="none"/>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业主单位</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服务内容</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签约及服务</w:t>
            </w:r>
            <w:r>
              <w:rPr>
                <w:rFonts w:hint="eastAsia" w:ascii="仿宋" w:hAnsi="仿宋" w:eastAsia="仿宋" w:cs="仿宋"/>
                <w:color w:val="000000"/>
                <w:sz w:val="24"/>
                <w:szCs w:val="24"/>
                <w:highlight w:val="none"/>
              </w:rPr>
            </w:r>
            <w:r/>
          </w:p>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联系人及电话</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ind w:firstLine="120"/>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6"/>
              <w:jc w:val="center"/>
              <w:spacing w:line="40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注：按磋商文件要求及</w:t>
      </w:r>
      <w:r>
        <w:rPr>
          <w:rFonts w:hint="eastAsia" w:ascii="仿宋" w:hAnsi="仿宋" w:eastAsia="仿宋" w:cs="仿宋"/>
          <w:color w:val="000000"/>
          <w:sz w:val="24"/>
          <w:szCs w:val="24"/>
          <w:highlight w:val="none"/>
        </w:rPr>
        <w:t xml:space="preserve">评标标准的要求，提供业绩证明材料等，附后。</w:t>
      </w:r>
      <w:r>
        <w:rPr>
          <w:rFonts w:hint="eastAsia" w:ascii="仿宋" w:hAnsi="仿宋" w:eastAsia="仿宋" w:cs="仿宋"/>
          <w:color w:val="000000"/>
          <w:sz w:val="24"/>
          <w:szCs w:val="24"/>
          <w:highlight w:val="none"/>
        </w:rPr>
      </w:r>
      <w:r/>
    </w:p>
    <w:p>
      <w:pPr>
        <w:pStyle w:val="105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906"/>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24"/>
          <w:szCs w:val="24"/>
          <w:highlight w:val="none"/>
        </w:rPr>
        <w:t xml:space="preserve">九、</w:t>
      </w:r>
      <w:r>
        <w:rPr>
          <w:rFonts w:hint="eastAsia" w:ascii="仿宋" w:hAnsi="仿宋" w:eastAsia="仿宋" w:cs="仿宋"/>
          <w:b/>
          <w:bCs/>
          <w:color w:val="000000"/>
          <w:sz w:val="24"/>
          <w:szCs w:val="24"/>
          <w:highlight w:val="none"/>
        </w:rPr>
        <w:t xml:space="preserve">企业声明函格式</w:t>
      </w:r>
      <w:r>
        <w:rPr>
          <w:rFonts w:hint="eastAsia" w:ascii="仿宋" w:hAnsi="仿宋" w:eastAsia="仿宋" w:cs="仿宋"/>
          <w:b/>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中小企业声明函（工程、服务）</w:t>
      </w:r>
      <w:r>
        <w:rPr>
          <w:rFonts w:hint="eastAsia" w:ascii="仿宋" w:hAnsi="仿宋" w:eastAsia="仿宋" w:cs="仿宋"/>
          <w:color w:val="000000"/>
          <w:sz w:val="24"/>
          <w:szCs w:val="24"/>
          <w:highlight w:val="none"/>
        </w:rPr>
      </w:r>
      <w:r/>
    </w:p>
    <w:p>
      <w:pPr>
        <w:pStyle w:val="906"/>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本公司（联合体）郑重声明，根据《中小企业划型标准规定》工信部联企业〔2011〕300号规定，本公司（联合体）参加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采购活动，项目的投标单位全部为符合政策要求的中小企业（或者：服务全部由符合政策要求的中小企业承接）。相关企业（含联合体中的中小企业、签订分包意向协议的中小企业）的具体情况如下：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（采购文件中明确的所属行业）</w:t>
      </w:r>
      <w:r>
        <w:rPr>
          <w:rFonts w:hint="eastAsia" w:ascii="仿宋" w:hAnsi="仿宋" w:eastAsia="仿宋" w:cs="仿宋"/>
          <w:color w:val="000000"/>
          <w:sz w:val="24"/>
          <w:szCs w:val="24"/>
          <w:highlight w:val="none"/>
        </w:rPr>
        <w:t xml:space="preserve">；承建（承接）企业为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  从业人员人，营业收入为万元，资产总额为万元，属于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（采购文件中明确的所属行业）</w:t>
      </w:r>
      <w:r>
        <w:rPr>
          <w:rFonts w:hint="eastAsia" w:ascii="仿宋" w:hAnsi="仿宋" w:eastAsia="仿宋" w:cs="仿宋"/>
          <w:color w:val="000000"/>
          <w:sz w:val="24"/>
          <w:szCs w:val="24"/>
          <w:highlight w:val="none"/>
        </w:rPr>
        <w:t xml:space="preserve">；承建（承接）企业为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  从业人员人，营业收入为万元，资产总额为万元，属于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 w:val="24"/>
          <w:szCs w:val="24"/>
          <w:highlight w:val="none"/>
        </w:rPr>
      </w:r>
      <w:r/>
    </w:p>
    <w:p>
      <w:pPr>
        <w:pStyle w:val="100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06"/>
        <w:ind w:firstLine="620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企业名称（盖章）：</w:t>
      </w:r>
      <w:r>
        <w:rPr>
          <w:rFonts w:hint="eastAsia" w:ascii="仿宋" w:hAnsi="仿宋" w:eastAsia="仿宋" w:cs="仿宋"/>
          <w:color w:val="000000"/>
          <w:sz w:val="24"/>
          <w:szCs w:val="24"/>
          <w:highlight w:val="none"/>
        </w:rPr>
      </w:r>
      <w:r/>
    </w:p>
    <w:p>
      <w:pPr>
        <w:pStyle w:val="906"/>
        <w:ind w:firstLine="620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906"/>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内打“√”。3.供应商如不提供此声明函，不得参加专门面向中小企业采购项目或者不得享受小微企业价格扣除政策。此声明函将随成交结果同时公告，接受社会监督。4.联合体成员均须在声明函中明确属于某一种企业。</w:t>
      </w:r>
      <w:r>
        <w:rPr>
          <w:rFonts w:hint="eastAsia" w:ascii="仿宋" w:hAnsi="仿宋" w:eastAsia="仿宋" w:cs="仿宋"/>
          <w:color w:val="000000"/>
          <w:sz w:val="21"/>
          <w:szCs w:val="21"/>
          <w:highlight w:val="none"/>
        </w:rPr>
      </w:r>
      <w:r/>
    </w:p>
    <w:p>
      <w:pPr>
        <w:pStyle w:val="906"/>
        <w:jc w:val="center"/>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残疾人福利性单位声明函（如有）</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（单位名称）采购编号为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项目的采购活动，工程服务全部由本单位提供。</w:t>
      </w:r>
      <w:r>
        <w:rPr>
          <w:rFonts w:hint="eastAsia" w:ascii="仿宋" w:hAnsi="仿宋" w:eastAsia="仿宋" w:cs="仿宋"/>
          <w:color w:val="000000"/>
          <w:sz w:val="24"/>
          <w:szCs w:val="24"/>
          <w:highlight w:val="none"/>
        </w:rPr>
      </w:r>
      <w:r/>
    </w:p>
    <w:p>
      <w:pPr>
        <w:pStyle w:val="90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10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right="180" w:firstLine="36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企业名称：（加盖电子公章）</w:t>
      </w:r>
      <w:r>
        <w:rPr>
          <w:rFonts w:hint="eastAsia" w:ascii="仿宋" w:hAnsi="仿宋" w:eastAsia="仿宋" w:cs="仿宋"/>
          <w:color w:val="000000"/>
          <w:sz w:val="24"/>
          <w:szCs w:val="24"/>
          <w:highlight w:val="none"/>
        </w:rPr>
      </w:r>
      <w:r/>
    </w:p>
    <w:p>
      <w:pPr>
        <w:pStyle w:val="906"/>
        <w:ind w:firstLine="60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906"/>
        <w:ind w:firstLine="480"/>
        <w:spacing w:line="58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06"/>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1.供应商如不提供此声明函，价格将不做相应扣除。</w:t>
      </w:r>
      <w:r>
        <w:rPr>
          <w:rFonts w:hint="eastAsia" w:ascii="仿宋" w:hAnsi="仿宋" w:eastAsia="仿宋" w:cs="仿宋"/>
          <w:color w:val="000000"/>
          <w:sz w:val="24"/>
          <w:szCs w:val="24"/>
          <w:highlight w:val="none"/>
        </w:rPr>
      </w:r>
      <w:r/>
    </w:p>
    <w:p>
      <w:pPr>
        <w:pStyle w:val="906"/>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2.成交供应商为残疾人福利性单位的，此声明函将随成交结果同时公告，接受社会监督。</w:t>
      </w:r>
      <w:r>
        <w:rPr>
          <w:rFonts w:hint="eastAsia" w:ascii="仿宋" w:hAnsi="仿宋" w:eastAsia="仿宋" w:cs="仿宋"/>
          <w:color w:val="000000"/>
          <w:sz w:val="24"/>
          <w:szCs w:val="24"/>
          <w:highlight w:val="none"/>
        </w:rPr>
      </w:r>
      <w:r/>
    </w:p>
    <w:p>
      <w:pPr>
        <w:pStyle w:val="906"/>
        <w:ind w:firstLine="64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06"/>
        <w:spacing w:before="240" w:after="240"/>
        <w:rPr>
          <w:rFonts w:hint="eastAsia" w:ascii="仿宋" w:hAnsi="仿宋" w:eastAsia="仿宋" w:cs="仿宋"/>
          <w:b/>
          <w:color w:val="000000"/>
          <w:sz w:val="24"/>
          <w:szCs w:val="24"/>
          <w:highlight w:val="none"/>
        </w:rPr>
      </w:pPr>
      <w:r/>
      <w:bookmarkStart w:id="770" w:name="_Toc504573092"/>
      <w:r/>
      <w:bookmarkStart w:id="771" w:name="_Toc534273809"/>
      <w:r/>
      <w:bookmarkStart w:id="772" w:name="_Toc534273686"/>
      <w:r/>
      <w:bookmarkStart w:id="773" w:name="_Toc8704"/>
      <w:r/>
      <w:bookmarkStart w:id="774" w:name="_Toc490133037"/>
      <w:r/>
      <w:bookmarkStart w:id="775" w:name="_Toc504056877"/>
      <w:r/>
      <w:bookmarkStart w:id="776" w:name="_Toc504044389"/>
      <w:r>
        <w:rPr>
          <w:rFonts w:hint="eastAsia" w:ascii="仿宋" w:hAnsi="仿宋" w:eastAsia="仿宋" w:cs="仿宋"/>
          <w:b/>
          <w:color w:val="000000"/>
          <w:sz w:val="24"/>
          <w:szCs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03"/>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06"/>
        <w:spacing w:before="240" w:after="24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十、无重大违法记录声明格式</w:t>
      </w:r>
      <w:r>
        <w:rPr>
          <w:rFonts w:hint="eastAsia" w:ascii="仿宋" w:hAnsi="仿宋" w:eastAsia="仿宋" w:cs="仿宋"/>
          <w:b/>
          <w:color w:val="000000"/>
          <w:sz w:val="24"/>
          <w:szCs w:val="24"/>
          <w:highlight w:val="none"/>
        </w:rPr>
      </w:r>
      <w:r/>
    </w:p>
    <w:p>
      <w:pPr>
        <w:pStyle w:val="906"/>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无重大违法记录声明</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江苏诚信工程咨询管理有限公司：</w:t>
      </w: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我单位（供应商名称）宣布声明和承诺如下：</w:t>
      </w:r>
      <w:r>
        <w:rPr>
          <w:rFonts w:hint="eastAsia" w:ascii="仿宋" w:hAnsi="仿宋" w:eastAsia="仿宋" w:cs="仿宋"/>
          <w:color w:val="000000"/>
          <w:sz w:val="24"/>
          <w:szCs w:val="24"/>
          <w:highlight w:val="none"/>
        </w:rPr>
      </w:r>
      <w:r/>
    </w:p>
    <w:p>
      <w:pPr>
        <w:pStyle w:val="906"/>
        <w:ind w:firstLine="354"/>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我单位参加本次采购活动前3年内在经营活动中</w:t>
      </w:r>
      <w:r>
        <w:rPr>
          <w:rFonts w:hint="eastAsia" w:ascii="仿宋" w:hAnsi="仿宋" w:eastAsia="仿宋" w:cs="仿宋"/>
          <w:color w:val="000000"/>
          <w:sz w:val="24"/>
          <w:szCs w:val="24"/>
          <w:highlight w:val="none"/>
        </w:rPr>
        <w:t xml:space="preserve">（</w:t>
      </w:r>
      <w:r>
        <w:rPr>
          <w:rFonts w:hint="eastAsia" w:ascii="仿宋" w:hAnsi="仿宋" w:eastAsia="仿宋" w:cs="仿宋"/>
          <w:b/>
          <w:i/>
          <w:color w:val="000000"/>
          <w:sz w:val="24"/>
          <w:szCs w:val="24"/>
          <w:highlight w:val="none"/>
          <w:u w:val="single"/>
        </w:rPr>
        <w:t xml:space="preserve">在下划线上如实填写：有或没有</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重大违法记录</w:t>
      </w:r>
      <w:r>
        <w:rPr>
          <w:rFonts w:hint="eastAsia" w:ascii="仿宋" w:hAnsi="仿宋" w:eastAsia="仿宋" w:cs="仿宋"/>
          <w:b/>
          <w:color w:val="000000"/>
          <w:sz w:val="24"/>
          <w:szCs w:val="24"/>
          <w:highlight w:val="none"/>
        </w:rPr>
        <w:t xml:space="preserve">，且不是失信被执行人、重大税收违法失信主体名单名单、政府采购严重违法失信行为记录名单的供应商。</w:t>
      </w:r>
      <w:r>
        <w:rPr>
          <w:rFonts w:hint="eastAsia" w:ascii="仿宋" w:hAnsi="仿宋" w:eastAsia="仿宋" w:cs="仿宋"/>
          <w:b/>
          <w:color w:val="000000"/>
          <w:sz w:val="24"/>
          <w:szCs w:val="24"/>
          <w:highlight w:val="none"/>
        </w:rPr>
      </w:r>
      <w:r/>
    </w:p>
    <w:p>
      <w:pPr>
        <w:pStyle w:val="906"/>
        <w:ind w:firstLine="3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906"/>
        <w:ind w:firstLine="3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3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06"/>
        <w:ind w:firstLine="583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声明人：（加盖电子公章）</w:t>
      </w:r>
      <w:r>
        <w:rPr>
          <w:rFonts w:hint="eastAsia" w:ascii="仿宋" w:hAnsi="仿宋" w:eastAsia="仿宋" w:cs="仿宋"/>
          <w:color w:val="000000"/>
          <w:sz w:val="24"/>
          <w:szCs w:val="24"/>
          <w:highlight w:val="none"/>
        </w:rPr>
      </w:r>
      <w:r/>
    </w:p>
    <w:p>
      <w:pPr>
        <w:pStyle w:val="906"/>
        <w:ind w:right="840" w:firstLine="576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日期：    年   月</w:t>
      </w:r>
      <w:r>
        <w:rPr>
          <w:rFonts w:hint="eastAsia" w:ascii="仿宋" w:hAnsi="仿宋" w:eastAsia="仿宋" w:cs="仿宋"/>
          <w:color w:val="000000"/>
          <w:sz w:val="24"/>
          <w:szCs w:val="24"/>
          <w:highlight w:val="none"/>
        </w:rPr>
        <w:br w:type="page" w:clear="all"/>
      </w:r>
      <w:bookmarkEnd w:id="770"/>
      <w:r/>
      <w:bookmarkEnd w:id="771"/>
      <w:r/>
      <w:bookmarkEnd w:id="772"/>
      <w:r/>
      <w:bookmarkEnd w:id="773"/>
      <w:r/>
      <w:bookmarkEnd w:id="774"/>
      <w:r/>
      <w:bookmarkEnd w:id="775"/>
      <w:r/>
      <w:bookmarkEnd w:id="776"/>
      <w:r>
        <w:rPr>
          <w:rFonts w:hint="eastAsia" w:ascii="仿宋" w:hAnsi="仿宋" w:eastAsia="仿宋" w:cs="仿宋"/>
          <w:b/>
          <w:color w:val="000000"/>
          <w:sz w:val="24"/>
          <w:szCs w:val="24"/>
          <w:highlight w:val="none"/>
        </w:rPr>
        <w:t xml:space="preserve">十一、资格资信证明文件</w:t>
      </w: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请按第一章竞争性磋商公告中二、申请人的资格要求，逐条填写</w:t>
      </w: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6"/>
        <w:spacing w:before="19"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十二、南京市政府采购供应商信用记录表暨信用承诺书</w:t>
      </w:r>
      <w:r>
        <w:rPr>
          <w:rFonts w:hint="eastAsia" w:ascii="仿宋" w:hAnsi="仿宋" w:eastAsia="仿宋" w:cs="仿宋"/>
          <w:b/>
          <w:bCs/>
          <w:color w:val="000000"/>
          <w:sz w:val="24"/>
          <w:szCs w:val="24"/>
          <w:highlight w:val="none"/>
        </w:rPr>
      </w:r>
      <w:r/>
    </w:p>
    <w:p>
      <w:pPr>
        <w:pStyle w:val="1073"/>
        <w:ind w:firstLine="0"/>
        <w:jc w:val="left"/>
        <w:spacing w:after="500" w:line="240" w:lineRule="auto"/>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（仅为示范格式，直接填写无效，需至“南京政府采购供应商诚信档案管理系统”在线打印）</w:t>
      </w:r>
      <w:r>
        <w:rPr>
          <w:rFonts w:hint="eastAsia" w:ascii="仿宋" w:hAnsi="仿宋" w:eastAsia="仿宋" w:cs="仿宋"/>
          <w:b/>
          <w:color w:val="000000"/>
          <w:sz w:val="24"/>
          <w:szCs w:val="24"/>
          <w:highlight w:val="none"/>
          <w:lang w:val="en-US" w:eastAsia="zh-CN" w:bidi="ar-SA"/>
        </w:rPr>
      </w:r>
      <w:r/>
    </w:p>
    <w:p>
      <w:pPr>
        <w:pStyle w:val="1074"/>
        <w:ind w:left="6753"/>
        <w:jc w:val="left"/>
        <w:rPr>
          <w:rFonts w:hint="eastAsia" w:ascii="仿宋" w:hAnsi="仿宋" w:eastAsia="仿宋" w:cs="仿宋"/>
          <w:color w:val="000000"/>
          <w:sz w:val="24"/>
          <w:szCs w:val="24"/>
          <w:highlight w:val="none"/>
        </w:rPr>
      </w:pPr>
      <w:r/>
      <w:bookmarkStart w:id="777" w:name="_Toc29991"/>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 月 日</w:t>
      </w:r>
      <w:bookmarkEnd w:id="777"/>
      <w:r>
        <w:rPr>
          <w:rFonts w:hint="eastAsia" w:ascii="仿宋" w:hAnsi="仿宋" w:eastAsia="仿宋" w:cs="仿宋"/>
          <w:color w:val="000000"/>
          <w:sz w:val="24"/>
          <w:szCs w:val="24"/>
          <w:highlight w:val="none"/>
        </w:rPr>
      </w:r>
      <w:r/>
    </w:p>
    <w:tbl>
      <w:tblPr>
        <w:tblW w:w="9039"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trHeight w:val="557"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center"/>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单位名称</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center"/>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32"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联系人</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37"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联系地址</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联系电话</w:t>
            </w:r>
            <w:r>
              <w:rPr>
                <w:rFonts w:hint="eastAsia" w:ascii="仿宋" w:hAnsi="仿宋" w:eastAsia="仿宋"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46"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center"/>
            <w:textDirection w:val="lrTb"/>
            <w:noWrap w:val="false"/>
          </w:tcPr>
          <w:p>
            <w:pPr>
              <w:pStyle w:val="1075"/>
              <w:ind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诚信档案记录情况</w:t>
            </w:r>
            <w:r>
              <w:rPr>
                <w:rFonts w:hint="eastAsia" w:ascii="仿宋" w:hAnsi="仿宋" w:eastAsia="仿宋" w:cs="仿宋"/>
                <w:color w:val="000000"/>
                <w:sz w:val="24"/>
                <w:szCs w:val="24"/>
                <w:highlight w:val="none"/>
              </w:rPr>
            </w:r>
            <w:r/>
          </w:p>
        </w:tc>
        <w:tc>
          <w:tcPr>
            <w:gridSpan w:val="3"/>
            <w:shd w:val="clear" w:color="auto" w:fill="ffffff"/>
            <w:tcBorders>
              <w:top w:val="single" w:color="000000" w:sz="4" w:space="0"/>
              <w:left w:val="single" w:color="000000" w:sz="4" w:space="0"/>
              <w:bottom w:val="none" w:color="000000" w:sz="0" w:space="0"/>
              <w:right w:val="single" w:color="000000" w:sz="4" w:space="0"/>
            </w:tcBorders>
            <w:tcW w:w="6845" w:type="dxa"/>
            <w:vAlign w:val="top"/>
            <w:textDirection w:val="lrTb"/>
            <w:noWrap w:val="false"/>
          </w:tcPr>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562" w:hRule="exact"/>
        </w:trPr>
        <w:tc>
          <w:tcPr>
            <w:shd w:val="clear" w:color="auto" w:fill="ffffff"/>
            <w:tcBorders>
              <w:top w:val="single" w:color="000000" w:sz="4" w:space="0"/>
              <w:left w:val="single" w:color="000000" w:sz="4" w:space="0"/>
              <w:bottom w:val="single" w:color="000000" w:sz="4" w:space="0"/>
              <w:right w:val="none" w:color="000000" w:sz="0" w:space="0"/>
            </w:tcBorders>
            <w:tcW w:w="2194" w:type="dxa"/>
            <w:vAlign w:val="center"/>
            <w:textDirection w:val="lrTb"/>
            <w:noWrap w:val="false"/>
          </w:tcPr>
          <w:p>
            <w:pPr>
              <w:pStyle w:val="1075"/>
              <w:ind w:firstLine="66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信用承诺</w:t>
            </w:r>
            <w:r>
              <w:rPr>
                <w:rFonts w:hint="eastAsia" w:ascii="仿宋" w:hAnsi="仿宋" w:eastAsia="仿宋" w:cs="仿宋"/>
                <w:color w:val="000000"/>
                <w:sz w:val="24"/>
                <w:szCs w:val="24"/>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075"/>
              <w:ind w:firstLine="560"/>
              <w:spacing w:after="1340" w:line="35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我公司自愿参加贵中心（公司）组织的本次釆购活动，严格遵守《中华人民共和国政府釆购法》及相关法律法</w:t>
            </w:r>
            <w:r>
              <w:rPr>
                <w:rFonts w:hint="eastAsia" w:ascii="仿宋" w:hAnsi="仿宋" w:eastAsia="仿宋" w:cs="仿宋"/>
                <w:color w:val="000000"/>
                <w:sz w:val="24"/>
                <w:szCs w:val="24"/>
                <w:highlight w:val="none"/>
              </w:rPr>
              <w:t xml:space="preserve">规，坚守公开、公平、公正和诚实信用的原则，依法诚信经营，无条件遵守本次政府采购活动的各项规定。我们郑重承诺，本公司符合《政府采 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采购文件规定的其他条件。 如有弄虚作假或其他违法违规行为，愿承担一切法律责任，接受 各级政府釆购监管部门和有权机关的审查和处罚。</w:t>
            </w:r>
            <w:r>
              <w:rPr>
                <w:rFonts w:hint="eastAsia" w:ascii="仿宋" w:hAnsi="仿宋" w:eastAsia="仿宋" w:cs="仿宋"/>
                <w:color w:val="000000"/>
                <w:sz w:val="24"/>
                <w:szCs w:val="24"/>
                <w:highlight w:val="none"/>
              </w:rPr>
            </w:r>
            <w:r/>
          </w:p>
          <w:p>
            <w:pPr>
              <w:pStyle w:val="1075"/>
              <w:ind w:left="2860" w:firstLine="0"/>
              <w:spacing w:after="80" w:line="35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供应商名称（盖章）：</w:t>
            </w:r>
            <w:r>
              <w:rPr>
                <w:rFonts w:hint="eastAsia" w:ascii="仿宋" w:hAnsi="仿宋" w:eastAsia="仿宋" w:cs="仿宋"/>
                <w:color w:val="000000"/>
                <w:sz w:val="24"/>
                <w:szCs w:val="24"/>
                <w:highlight w:val="none"/>
              </w:rPr>
            </w:r>
            <w:r/>
          </w:p>
          <w:p>
            <w:pPr>
              <w:pStyle w:val="1075"/>
              <w:ind w:left="2860" w:firstLine="0"/>
              <w:spacing w:after="80" w:line="35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w:t>
            </w:r>
            <w:r>
              <w:rPr>
                <w:rFonts w:hint="eastAsia" w:ascii="仿宋" w:hAnsi="仿宋" w:eastAsia="仿宋" w:cs="仿宋"/>
                <w:color w:val="000000"/>
                <w:sz w:val="24"/>
                <w:szCs w:val="24"/>
                <w:highlight w:val="none"/>
              </w:rPr>
            </w:r>
            <w:r/>
          </w:p>
          <w:p>
            <w:pPr>
              <w:pStyle w:val="1075"/>
              <w:ind w:left="2740" w:firstLine="240"/>
              <w:jc w:val="left"/>
              <w:spacing w:line="35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tc>
      </w:tr>
    </w:tbl>
    <w:p>
      <w:pPr>
        <w:pStyle w:val="90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注：供应商在中标（成交）后，应按采购文件要求，将上述由信用承诺书替代的证明材料提交采购人或采购代理机构核验。经核验无误后，由釆购人或釆购代理机构发出中标（成交） 通知书。</w:t>
      </w:r>
      <w:r>
        <w:rPr>
          <w:rFonts w:hint="eastAsia" w:ascii="仿宋" w:hAnsi="仿宋" w:eastAsia="仿宋" w:cs="仿宋"/>
          <w:color w:val="000000"/>
          <w:sz w:val="24"/>
          <w:szCs w:val="24"/>
          <w:highlight w:val="none"/>
        </w:rPr>
      </w:r>
      <w:r/>
    </w:p>
    <w:p>
      <w:pPr>
        <w:pStyle w:val="90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不适用信用承诺的情形参见</w:t>
      </w:r>
      <w:r>
        <w:rPr>
          <w:rFonts w:hint="eastAsia" w:ascii="仿宋" w:hAnsi="仿宋" w:eastAsia="仿宋" w:cs="仿宋"/>
          <w:color w:val="000000"/>
          <w:sz w:val="24"/>
          <w:szCs w:val="24"/>
          <w:highlight w:val="none"/>
        </w:rPr>
        <w:t xml:space="preserve">南京市《关于在政府采购活动中推行信用承诺制的通知》（宁财购通〔 2021〕5号）。</w:t>
      </w:r>
      <w:r>
        <w:rPr>
          <w:rFonts w:hint="eastAsia" w:ascii="仿宋" w:hAnsi="仿宋" w:eastAsia="仿宋" w:cs="仿宋"/>
          <w:color w:val="000000"/>
          <w:sz w:val="24"/>
          <w:szCs w:val="24"/>
          <w:highlight w:val="none"/>
          <w:lang w:val="zh-CN"/>
        </w:rPr>
      </w:r>
      <w:r/>
    </w:p>
    <w:p>
      <w:pPr>
        <w:pStyle w:val="906"/>
        <w:jc w:val="left"/>
        <w:spacing w:line="48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73"/>
        <w:ind w:firstLine="0"/>
        <w:jc w:val="left"/>
        <w:spacing w:after="500" w:line="240" w:lineRule="auto"/>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906"/>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十三、供应商提供的其他资料</w:t>
      </w:r>
      <w:r/>
    </w:p>
    <w:sectPr>
      <w:footnotePr/>
      <w:endnotePr/>
      <w:type w:val="nextPage"/>
      <w:pgSz w:w="11906" w:h="16838" w:orient="portrait"/>
      <w:pgMar w:top="1418" w:right="1418" w:bottom="1418" w:left="1418"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6"/>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6"/>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0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0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szCs w:val="24"/>
      </w:rPr>
    </w:pPr>
    <w:r>
      <w:rPr>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90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906"/>
                    </w:pPr>
                    <w:r/>
                    <w:r/>
                  </w:p>
                </w:txbxContent>
              </v:textbox>
            </v:shape>
          </w:pict>
        </mc:Fallback>
      </mc:AlternateContent>
    </w:r>
    <w:r>
      <w:rPr>
        <w:szCs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92</w:t>
                          </w:r>
                          <w:r>
                            <w:fldChar w:fldCharType="end"/>
                          </w:r>
                          <w:r/>
                        </w:p>
                        <w:p>
                          <w:pPr>
                            <w:pStyle w:val="90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92</w:t>
                    </w:r>
                    <w:r>
                      <w:fldChar w:fldCharType="end"/>
                    </w:r>
                    <w:r/>
                  </w:p>
                  <w:p>
                    <w:pPr>
                      <w:pStyle w:val="9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szCs w:val="24"/>
      </w:rPr>
      <w:pBdr>
        <w:bottom w:val="none" w:color="000000" w:sz="0" w:space="0"/>
      </w:pBdr>
    </w:pPr>
    <w:r>
      <w:rPr>
        <w:szCs w:val="24"/>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906"/>
        <w:ind w:left="600" w:hanging="600"/>
        <w:tabs>
          <w:tab w:val="num" w:pos="0" w:leader="none"/>
        </w:tabs>
      </w:pPr>
    </w:lvl>
    <w:lvl w:ilvl="1">
      <w:start w:val="1"/>
      <w:numFmt w:val="decimal"/>
      <w:isLgl w:val="false"/>
      <w:suff w:val="tab"/>
      <w:lvlText w:val="%1.%2"/>
      <w:lvlJc w:val="left"/>
      <w:pPr>
        <w:pStyle w:val="906"/>
        <w:ind w:left="840" w:hanging="600"/>
        <w:tabs>
          <w:tab w:val="num" w:pos="0" w:leader="none"/>
        </w:tabs>
      </w:pPr>
    </w:lvl>
    <w:lvl w:ilvl="2">
      <w:start w:val="6"/>
      <w:numFmt w:val="decimal"/>
      <w:isLgl w:val="false"/>
      <w:suff w:val="tab"/>
      <w:lvlText w:val="%1.%2.%3"/>
      <w:lvlJc w:val="left"/>
      <w:pPr>
        <w:pStyle w:val="906"/>
        <w:ind w:left="1200" w:hanging="720"/>
        <w:tabs>
          <w:tab w:val="num" w:pos="0" w:leader="none"/>
        </w:tabs>
      </w:pPr>
    </w:lvl>
    <w:lvl w:ilvl="3">
      <w:start w:val="1"/>
      <w:numFmt w:val="decimal"/>
      <w:isLgl w:val="false"/>
      <w:suff w:val="tab"/>
      <w:lvlText w:val="%1.%2.%3.%4"/>
      <w:lvlJc w:val="left"/>
      <w:pPr>
        <w:pStyle w:val="906"/>
        <w:ind w:left="1440" w:hanging="720"/>
        <w:tabs>
          <w:tab w:val="num" w:pos="0" w:leader="none"/>
        </w:tabs>
      </w:pPr>
    </w:lvl>
    <w:lvl w:ilvl="4">
      <w:start w:val="1"/>
      <w:numFmt w:val="decimal"/>
      <w:isLgl w:val="false"/>
      <w:suff w:val="tab"/>
      <w:lvlText w:val="%1.%2.%3.%4.%5"/>
      <w:lvlJc w:val="left"/>
      <w:pPr>
        <w:pStyle w:val="906"/>
        <w:ind w:left="2040" w:hanging="1080"/>
        <w:tabs>
          <w:tab w:val="num" w:pos="0" w:leader="none"/>
        </w:tabs>
      </w:pPr>
    </w:lvl>
    <w:lvl w:ilvl="5">
      <w:start w:val="1"/>
      <w:numFmt w:val="decimal"/>
      <w:isLgl w:val="false"/>
      <w:suff w:val="tab"/>
      <w:lvlText w:val="%1.%2.%3.%4.%5.%6"/>
      <w:lvlJc w:val="left"/>
      <w:pPr>
        <w:pStyle w:val="906"/>
        <w:ind w:left="2280" w:hanging="1080"/>
        <w:tabs>
          <w:tab w:val="num" w:pos="0" w:leader="none"/>
        </w:tabs>
      </w:pPr>
    </w:lvl>
    <w:lvl w:ilvl="6">
      <w:start w:val="1"/>
      <w:numFmt w:val="decimal"/>
      <w:isLgl w:val="false"/>
      <w:suff w:val="tab"/>
      <w:lvlText w:val="%1.%2.%3.%4.%5.%6.%7"/>
      <w:lvlJc w:val="left"/>
      <w:pPr>
        <w:pStyle w:val="906"/>
        <w:ind w:left="2880" w:hanging="1440"/>
        <w:tabs>
          <w:tab w:val="num" w:pos="0" w:leader="none"/>
        </w:tabs>
      </w:pPr>
    </w:lvl>
    <w:lvl w:ilvl="7">
      <w:start w:val="1"/>
      <w:numFmt w:val="decimal"/>
      <w:isLgl w:val="false"/>
      <w:suff w:val="tab"/>
      <w:lvlText w:val="%1.%2.%3.%4.%5.%6.%7.%8"/>
      <w:lvlJc w:val="left"/>
      <w:pPr>
        <w:pStyle w:val="906"/>
        <w:ind w:left="3120" w:hanging="1440"/>
        <w:tabs>
          <w:tab w:val="num" w:pos="0" w:leader="none"/>
        </w:tabs>
      </w:pPr>
    </w:lvl>
    <w:lvl w:ilvl="8">
      <w:start w:val="1"/>
      <w:numFmt w:val="decimal"/>
      <w:isLgl w:val="false"/>
      <w:suff w:val="tab"/>
      <w:lvlText w:val="%1.%2.%3.%4.%5.%6.%7.%8.%9"/>
      <w:lvlJc w:val="left"/>
      <w:pPr>
        <w:pStyle w:val="906"/>
        <w:ind w:left="3720" w:hanging="1800"/>
        <w:tabs>
          <w:tab w:val="num" w:pos="0" w:leader="none"/>
        </w:tabs>
      </w:pPr>
    </w:lvl>
  </w:abstractNum>
  <w:abstractNum w:abstractNumId="1">
    <w:multiLevelType w:val="hybridMultilevel"/>
    <w:lvl w:ilvl="0">
      <w:start w:val="1"/>
      <w:numFmt w:val="decimal"/>
      <w:isLgl w:val="false"/>
      <w:suff w:val="tab"/>
      <w:lvlText w:val="(%1)"/>
      <w:lvlJc w:val="left"/>
      <w:pPr>
        <w:pStyle w:val="906"/>
        <w:tabs>
          <w:tab w:val="num" w:pos="312" w:leader="none"/>
        </w:tabs>
      </w:pPr>
    </w:lvl>
    <w:lvl w:ilvl="1">
      <w:start w:val="1"/>
      <w:numFmt w:val="bullet"/>
      <w:isLgl w:val="false"/>
      <w:suff w:val="tab"/>
      <w:lvlText w:val="o"/>
      <w:lvlJc w:val="left"/>
      <w:pPr>
        <w:pStyle w:val="906"/>
        <w:ind w:left="1440" w:hanging="360"/>
      </w:pPr>
      <w:rPr>
        <w:rFonts w:ascii="Courier New" w:hAnsi="Courier New" w:eastAsia="Courier New" w:cs="Courier New"/>
      </w:rPr>
    </w:lvl>
    <w:lvl w:ilvl="2">
      <w:start w:val="1"/>
      <w:numFmt w:val="bullet"/>
      <w:isLgl w:val="false"/>
      <w:suff w:val="tab"/>
      <w:lvlText w:val="§"/>
      <w:lvlJc w:val="left"/>
      <w:pPr>
        <w:pStyle w:val="906"/>
        <w:ind w:left="2160" w:hanging="360"/>
      </w:pPr>
      <w:rPr>
        <w:rFonts w:ascii="Wingdings" w:hAnsi="Wingdings" w:eastAsia="Wingdings" w:cs="Wingdings"/>
      </w:rPr>
    </w:lvl>
    <w:lvl w:ilvl="3">
      <w:start w:val="1"/>
      <w:numFmt w:val="bullet"/>
      <w:isLgl w:val="false"/>
      <w:suff w:val="tab"/>
      <w:lvlText w:val="·"/>
      <w:lvlJc w:val="left"/>
      <w:pPr>
        <w:pStyle w:val="906"/>
        <w:ind w:left="2880" w:hanging="360"/>
      </w:pPr>
      <w:rPr>
        <w:rFonts w:ascii="Symbol" w:hAnsi="Symbol" w:eastAsia="Symbol" w:cs="Symbol"/>
      </w:rPr>
    </w:lvl>
    <w:lvl w:ilvl="4">
      <w:start w:val="1"/>
      <w:numFmt w:val="bullet"/>
      <w:isLgl w:val="false"/>
      <w:suff w:val="tab"/>
      <w:lvlText w:val="o"/>
      <w:lvlJc w:val="left"/>
      <w:pPr>
        <w:pStyle w:val="906"/>
        <w:ind w:left="3600" w:hanging="360"/>
      </w:pPr>
      <w:rPr>
        <w:rFonts w:ascii="Courier New" w:hAnsi="Courier New" w:eastAsia="Courier New" w:cs="Courier New"/>
      </w:rPr>
    </w:lvl>
    <w:lvl w:ilvl="5">
      <w:start w:val="1"/>
      <w:numFmt w:val="bullet"/>
      <w:isLgl w:val="false"/>
      <w:suff w:val="tab"/>
      <w:lvlText w:val="§"/>
      <w:lvlJc w:val="left"/>
      <w:pPr>
        <w:pStyle w:val="906"/>
        <w:ind w:left="4320" w:hanging="360"/>
      </w:pPr>
      <w:rPr>
        <w:rFonts w:ascii="Wingdings" w:hAnsi="Wingdings" w:eastAsia="Wingdings" w:cs="Wingdings"/>
      </w:rPr>
    </w:lvl>
    <w:lvl w:ilvl="6">
      <w:start w:val="1"/>
      <w:numFmt w:val="bullet"/>
      <w:isLgl w:val="false"/>
      <w:suff w:val="tab"/>
      <w:lvlText w:val="·"/>
      <w:lvlJc w:val="left"/>
      <w:pPr>
        <w:pStyle w:val="906"/>
        <w:ind w:left="5040" w:hanging="360"/>
      </w:pPr>
      <w:rPr>
        <w:rFonts w:ascii="Symbol" w:hAnsi="Symbol" w:eastAsia="Symbol" w:cs="Symbol"/>
      </w:rPr>
    </w:lvl>
    <w:lvl w:ilvl="7">
      <w:start w:val="1"/>
      <w:numFmt w:val="bullet"/>
      <w:isLgl w:val="false"/>
      <w:suff w:val="tab"/>
      <w:lvlText w:val="o"/>
      <w:lvlJc w:val="left"/>
      <w:pPr>
        <w:pStyle w:val="906"/>
        <w:ind w:left="5760" w:hanging="360"/>
      </w:pPr>
      <w:rPr>
        <w:rFonts w:ascii="Courier New" w:hAnsi="Courier New" w:eastAsia="Courier New" w:cs="Courier New"/>
      </w:rPr>
    </w:lvl>
    <w:lvl w:ilvl="8">
      <w:start w:val="1"/>
      <w:numFmt w:val="bullet"/>
      <w:isLgl w:val="false"/>
      <w:suff w:val="tab"/>
      <w:lvlText w:val="§"/>
      <w:lvlJc w:val="left"/>
      <w:pPr>
        <w:pStyle w:val="906"/>
        <w:ind w:left="6480" w:hanging="360"/>
      </w:pPr>
      <w:rPr>
        <w:rFonts w:ascii="Wingdings" w:hAnsi="Wingdings" w:eastAsia="Wingdings" w:cs="Wingdings"/>
      </w:rPr>
    </w:lvl>
  </w:abstractNum>
  <w:abstractNum w:abstractNumId="2">
    <w:multiLevelType w:val="hybridMultilevel"/>
    <w:lvl w:ilvl="0">
      <w:start w:val="1"/>
      <w:numFmt w:val="chineseCountingThousand"/>
      <w:pStyle w:val="907"/>
      <w:isLgl w:val="false"/>
      <w:suff w:val="nothing"/>
      <w:lvlText w:val="第%1章"/>
      <w:lvlJc w:val="left"/>
      <w:pPr>
        <w:pStyle w:val="906"/>
        <w:ind w:left="0" w:firstLine="0"/>
      </w:pPr>
    </w:lvl>
    <w:lvl w:ilvl="1">
      <w:start w:val="1"/>
      <w:numFmt w:val="decimal"/>
      <w:pStyle w:val="908"/>
      <w:isLgl w:val="false"/>
      <w:suff w:val="nothing"/>
      <w:lvlText w:val=""/>
      <w:lvlJc w:val="left"/>
      <w:pPr>
        <w:pStyle w:val="906"/>
        <w:ind w:left="0" w:firstLine="0"/>
      </w:pPr>
    </w:lvl>
    <w:lvl w:ilvl="2">
      <w:start w:val="1"/>
      <w:numFmt w:val="decimal"/>
      <w:pStyle w:val="909"/>
      <w:isLgl w:val="false"/>
      <w:suff w:val="nothing"/>
      <w:lvlText w:val=""/>
      <w:lvlJc w:val="left"/>
      <w:pPr>
        <w:pStyle w:val="906"/>
        <w:ind w:left="0" w:firstLine="0"/>
      </w:pPr>
    </w:lvl>
    <w:lvl w:ilvl="3">
      <w:start w:val="1"/>
      <w:numFmt w:val="decimal"/>
      <w:pStyle w:val="910"/>
      <w:isLgl w:val="false"/>
      <w:suff w:val="nothing"/>
      <w:lvlText w:val=""/>
      <w:lvlJc w:val="left"/>
      <w:pPr>
        <w:pStyle w:val="906"/>
        <w:ind w:left="0" w:firstLine="0"/>
      </w:pPr>
    </w:lvl>
    <w:lvl w:ilvl="4">
      <w:start w:val="1"/>
      <w:numFmt w:val="decimal"/>
      <w:pStyle w:val="911"/>
      <w:isLgl w:val="false"/>
      <w:suff w:val="nothing"/>
      <w:lvlText w:val=""/>
      <w:lvlJc w:val="left"/>
      <w:pPr>
        <w:pStyle w:val="906"/>
        <w:ind w:left="0" w:firstLine="0"/>
      </w:pPr>
    </w:lvl>
    <w:lvl w:ilvl="5">
      <w:start w:val="1"/>
      <w:numFmt w:val="decimal"/>
      <w:pStyle w:val="912"/>
      <w:isLgl w:val="false"/>
      <w:suff w:val="nothing"/>
      <w:lvlText w:val=""/>
      <w:lvlJc w:val="left"/>
      <w:pPr>
        <w:pStyle w:val="906"/>
        <w:ind w:left="0" w:firstLine="0"/>
      </w:pPr>
    </w:lvl>
    <w:lvl w:ilvl="6">
      <w:start w:val="1"/>
      <w:numFmt w:val="decimal"/>
      <w:pStyle w:val="913"/>
      <w:isLgl w:val="false"/>
      <w:suff w:val="nothing"/>
      <w:lvlText w:val=""/>
      <w:lvlJc w:val="left"/>
      <w:pPr>
        <w:pStyle w:val="906"/>
        <w:ind w:left="0" w:firstLine="0"/>
      </w:pPr>
    </w:lvl>
    <w:lvl w:ilvl="7">
      <w:start w:val="1"/>
      <w:numFmt w:val="decimal"/>
      <w:pStyle w:val="914"/>
      <w:isLgl w:val="false"/>
      <w:suff w:val="nothing"/>
      <w:lvlText w:val=""/>
      <w:lvlJc w:val="left"/>
      <w:pPr>
        <w:pStyle w:val="906"/>
        <w:ind w:left="0" w:firstLine="0"/>
      </w:pPr>
    </w:lvl>
    <w:lvl w:ilvl="8">
      <w:start w:val="1"/>
      <w:numFmt w:val="decimal"/>
      <w:pStyle w:val="915"/>
      <w:isLgl w:val="false"/>
      <w:suff w:val="nothing"/>
      <w:lvlText w:val=""/>
      <w:lvlJc w:val="left"/>
      <w:pPr>
        <w:pStyle w:val="906"/>
        <w:ind w:left="0" w:firstLine="0"/>
      </w:pPr>
    </w:lvl>
  </w:abstractNum>
  <w:abstractNum w:abstractNumId="3">
    <w:multiLevelType w:val="hybridMultilevel"/>
    <w:lvl w:ilvl="0">
      <w:start w:val="1"/>
      <w:numFmt w:val="bullet"/>
      <w:pStyle w:val="1019"/>
      <w:isLgl w:val="false"/>
      <w:suff w:val="tab"/>
      <w:lvlText w:val=""/>
      <w:lvlJc w:val="left"/>
      <w:pPr>
        <w:pStyle w:val="906"/>
        <w:ind w:left="420" w:hanging="420"/>
        <w:tabs>
          <w:tab w:val="num" w:pos="420" w:leader="none"/>
        </w:tabs>
      </w:pPr>
      <w:rPr>
        <w:rFonts w:ascii="Wingdings" w:hAnsi="Wingdings"/>
      </w:rPr>
    </w:lvl>
    <w:lvl w:ilvl="1">
      <w:start w:val="1"/>
      <w:numFmt w:val="decimal"/>
      <w:isLgl w:val="false"/>
      <w:suff w:val="tab"/>
      <w:lvlText w:val="（%2）"/>
      <w:lvlJc w:val="left"/>
      <w:pPr>
        <w:pStyle w:val="906"/>
        <w:ind w:left="1500" w:hanging="1080"/>
        <w:tabs>
          <w:tab w:val="num" w:pos="1500" w:leader="none"/>
        </w:tabs>
      </w:pPr>
      <w:rPr>
        <w:rFonts w:hint="eastAsia" w:cs="Times New Roman"/>
      </w:rPr>
    </w:lvl>
    <w:lvl w:ilvl="2">
      <w:start w:val="1"/>
      <w:numFmt w:val="decimal"/>
      <w:isLgl w:val="false"/>
      <w:suff w:val="tab"/>
      <w:lvlText w:val="（%3）"/>
      <w:lvlJc w:val="left"/>
      <w:pPr>
        <w:pStyle w:val="906"/>
        <w:ind w:left="1560" w:hanging="720"/>
        <w:tabs>
          <w:tab w:val="num" w:pos="1560" w:leader="none"/>
        </w:tabs>
      </w:pPr>
      <w:rPr>
        <w:rFonts w:hint="eastAsia" w:cs="Times New Roman"/>
      </w:rPr>
    </w:lvl>
    <w:lvl w:ilvl="3">
      <w:start w:val="1"/>
      <w:numFmt w:val="decimal"/>
      <w:isLgl w:val="false"/>
      <w:suff w:val="tab"/>
      <w:lvlText w:val="%4."/>
      <w:lvlJc w:val="left"/>
      <w:pPr>
        <w:pStyle w:val="906"/>
        <w:ind w:left="1680" w:hanging="420"/>
        <w:tabs>
          <w:tab w:val="num" w:pos="1680" w:leader="none"/>
        </w:tabs>
      </w:pPr>
      <w:rPr>
        <w:rFonts w:cs="Times New Roman"/>
      </w:rPr>
    </w:lvl>
    <w:lvl w:ilvl="4">
      <w:start w:val="1"/>
      <w:numFmt w:val="lowerLetter"/>
      <w:isLgl w:val="false"/>
      <w:suff w:val="tab"/>
      <w:lvlText w:val="%5)"/>
      <w:lvlJc w:val="left"/>
      <w:pPr>
        <w:pStyle w:val="906"/>
        <w:ind w:left="2100" w:hanging="420"/>
        <w:tabs>
          <w:tab w:val="num" w:pos="2100" w:leader="none"/>
        </w:tabs>
      </w:pPr>
      <w:rPr>
        <w:rFonts w:cs="Times New Roman"/>
      </w:rPr>
    </w:lvl>
    <w:lvl w:ilvl="5">
      <w:start w:val="1"/>
      <w:numFmt w:val="lowerRoman"/>
      <w:isLgl w:val="false"/>
      <w:suff w:val="tab"/>
      <w:lvlText w:val="%6."/>
      <w:lvlJc w:val="right"/>
      <w:pPr>
        <w:pStyle w:val="906"/>
        <w:ind w:left="2520" w:hanging="420"/>
        <w:tabs>
          <w:tab w:val="num" w:pos="2520" w:leader="none"/>
        </w:tabs>
      </w:pPr>
      <w:rPr>
        <w:rFonts w:cs="Times New Roman"/>
      </w:rPr>
    </w:lvl>
    <w:lvl w:ilvl="6">
      <w:start w:val="1"/>
      <w:numFmt w:val="decimal"/>
      <w:isLgl w:val="false"/>
      <w:suff w:val="tab"/>
      <w:lvlText w:val="%7."/>
      <w:lvlJc w:val="left"/>
      <w:pPr>
        <w:pStyle w:val="906"/>
        <w:ind w:left="2940" w:hanging="420"/>
        <w:tabs>
          <w:tab w:val="num" w:pos="2940" w:leader="none"/>
        </w:tabs>
      </w:pPr>
      <w:rPr>
        <w:rFonts w:cs="Times New Roman"/>
      </w:rPr>
    </w:lvl>
    <w:lvl w:ilvl="7">
      <w:start w:val="1"/>
      <w:numFmt w:val="lowerLetter"/>
      <w:isLgl w:val="false"/>
      <w:suff w:val="tab"/>
      <w:lvlText w:val="%8)"/>
      <w:lvlJc w:val="left"/>
      <w:pPr>
        <w:pStyle w:val="906"/>
        <w:ind w:left="3360" w:hanging="420"/>
        <w:tabs>
          <w:tab w:val="num" w:pos="3360" w:leader="none"/>
        </w:tabs>
      </w:pPr>
      <w:rPr>
        <w:rFonts w:cs="Times New Roman"/>
      </w:rPr>
    </w:lvl>
    <w:lvl w:ilvl="8">
      <w:start w:val="1"/>
      <w:numFmt w:val="lowerRoman"/>
      <w:isLgl w:val="false"/>
      <w:suff w:val="tab"/>
      <w:lvlText w:val="%9."/>
      <w:lvlJc w:val="right"/>
      <w:pPr>
        <w:pStyle w:val="906"/>
        <w:ind w:left="3780" w:hanging="420"/>
        <w:tabs>
          <w:tab w:val="num" w:pos="3780" w:leader="none"/>
        </w:tabs>
      </w:pPr>
      <w:rPr>
        <w:rFonts w:cs="Times New Roman"/>
      </w:rPr>
    </w:lvl>
  </w:abstractNum>
  <w:abstractNum w:abstractNumId="4">
    <w:multiLevelType w:val="hybridMultilevel"/>
    <w:lvl w:ilvl="0">
      <w:start w:val="1"/>
      <w:numFmt w:val="decimal"/>
      <w:isLgl w:val="false"/>
      <w:suff w:val="tab"/>
      <w:lvlText w:val="%1、"/>
      <w:lvlJc w:val="left"/>
      <w:pPr>
        <w:pStyle w:val="906"/>
        <w:ind w:left="360" w:hanging="36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5">
    <w:multiLevelType w:val="hybridMultilevel"/>
    <w:lvl w:ilvl="0">
      <w:start w:val="1"/>
      <w:numFmt w:val="decimal"/>
      <w:pStyle w:val="1017"/>
      <w:isLgl w:val="false"/>
      <w:suff w:val="tab"/>
      <w:lvlText w:val="(%1)"/>
      <w:lvlJc w:val="left"/>
      <w:pPr>
        <w:pStyle w:val="906"/>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06"/>
        <w:ind w:left="840" w:hanging="420"/>
        <w:tabs>
          <w:tab w:val="num" w:pos="840" w:leader="none"/>
        </w:tabs>
      </w:pPr>
      <w:rPr>
        <w:rFonts w:cs="Times New Roman"/>
      </w:rPr>
    </w:lvl>
    <w:lvl w:ilvl="2">
      <w:start w:val="1"/>
      <w:numFmt w:val="lowerRoman"/>
      <w:isLgl w:val="false"/>
      <w:suff w:val="tab"/>
      <w:lvlText w:val="%3."/>
      <w:lvlJc w:val="right"/>
      <w:pPr>
        <w:pStyle w:val="906"/>
        <w:ind w:left="1260" w:hanging="420"/>
        <w:tabs>
          <w:tab w:val="num" w:pos="1260" w:leader="none"/>
        </w:tabs>
      </w:pPr>
      <w:rPr>
        <w:rFonts w:cs="Times New Roman"/>
      </w:rPr>
    </w:lvl>
    <w:lvl w:ilvl="3">
      <w:start w:val="1"/>
      <w:numFmt w:val="decimal"/>
      <w:isLgl w:val="false"/>
      <w:suff w:val="tab"/>
      <w:lvlText w:val="%4."/>
      <w:lvlJc w:val="left"/>
      <w:pPr>
        <w:pStyle w:val="906"/>
        <w:ind w:left="1680" w:hanging="420"/>
        <w:tabs>
          <w:tab w:val="num" w:pos="1680" w:leader="none"/>
        </w:tabs>
      </w:pPr>
      <w:rPr>
        <w:rFonts w:cs="Times New Roman"/>
      </w:rPr>
    </w:lvl>
    <w:lvl w:ilvl="4">
      <w:start w:val="1"/>
      <w:numFmt w:val="lowerLetter"/>
      <w:isLgl w:val="false"/>
      <w:suff w:val="tab"/>
      <w:lvlText w:val="%5)"/>
      <w:lvlJc w:val="left"/>
      <w:pPr>
        <w:pStyle w:val="906"/>
        <w:ind w:left="2100" w:hanging="420"/>
        <w:tabs>
          <w:tab w:val="num" w:pos="2100" w:leader="none"/>
        </w:tabs>
      </w:pPr>
      <w:rPr>
        <w:rFonts w:cs="Times New Roman"/>
      </w:rPr>
    </w:lvl>
    <w:lvl w:ilvl="5">
      <w:start w:val="1"/>
      <w:numFmt w:val="lowerRoman"/>
      <w:isLgl w:val="false"/>
      <w:suff w:val="tab"/>
      <w:lvlText w:val="%6."/>
      <w:lvlJc w:val="right"/>
      <w:pPr>
        <w:pStyle w:val="906"/>
        <w:ind w:left="2520" w:hanging="420"/>
        <w:tabs>
          <w:tab w:val="num" w:pos="2520" w:leader="none"/>
        </w:tabs>
      </w:pPr>
      <w:rPr>
        <w:rFonts w:cs="Times New Roman"/>
      </w:rPr>
    </w:lvl>
    <w:lvl w:ilvl="6">
      <w:start w:val="1"/>
      <w:numFmt w:val="decimal"/>
      <w:isLgl w:val="false"/>
      <w:suff w:val="tab"/>
      <w:lvlText w:val="%7."/>
      <w:lvlJc w:val="left"/>
      <w:pPr>
        <w:pStyle w:val="906"/>
        <w:ind w:left="2940" w:hanging="420"/>
        <w:tabs>
          <w:tab w:val="num" w:pos="2940" w:leader="none"/>
        </w:tabs>
      </w:pPr>
      <w:rPr>
        <w:rFonts w:cs="Times New Roman"/>
      </w:rPr>
    </w:lvl>
    <w:lvl w:ilvl="7">
      <w:start w:val="1"/>
      <w:numFmt w:val="lowerLetter"/>
      <w:isLgl w:val="false"/>
      <w:suff w:val="tab"/>
      <w:lvlText w:val="%8)"/>
      <w:lvlJc w:val="left"/>
      <w:pPr>
        <w:pStyle w:val="906"/>
        <w:ind w:left="3360" w:hanging="420"/>
        <w:tabs>
          <w:tab w:val="num" w:pos="3360" w:leader="none"/>
        </w:tabs>
      </w:pPr>
      <w:rPr>
        <w:rFonts w:cs="Times New Roman"/>
      </w:rPr>
    </w:lvl>
    <w:lvl w:ilvl="8">
      <w:start w:val="1"/>
      <w:numFmt w:val="lowerRoman"/>
      <w:isLgl w:val="false"/>
      <w:suff w:val="tab"/>
      <w:lvlText w:val="%9."/>
      <w:lvlJc w:val="right"/>
      <w:pPr>
        <w:pStyle w:val="906"/>
        <w:ind w:left="3780" w:hanging="420"/>
        <w:tabs>
          <w:tab w:val="num" w:pos="3780" w:leader="none"/>
        </w:tabs>
      </w:pPr>
      <w:rPr>
        <w:rFonts w:cs="Times New Roman"/>
      </w:rPr>
    </w:lvl>
  </w:abstractNum>
  <w:abstractNum w:abstractNumId="6">
    <w:multiLevelType w:val="hybridMultilevel"/>
    <w:lvl w:ilvl="0">
      <w:start w:val="1"/>
      <w:numFmt w:val="bullet"/>
      <w:pStyle w:val="1056"/>
      <w:isLgl w:val="false"/>
      <w:suff w:val="tab"/>
      <w:lvlText w:val=""/>
      <w:lvlJc w:val="left"/>
      <w:pPr>
        <w:pStyle w:val="90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0"/>
      <w:isLgl w:val="false"/>
      <w:suff w:val="tab"/>
      <w:lvlText w:val="%1"/>
      <w:lvlJc w:val="left"/>
      <w:pPr>
        <w:pStyle w:val="906"/>
        <w:ind w:left="567" w:hanging="567"/>
        <w:tabs>
          <w:tab w:val="num" w:pos="567" w:leader="none"/>
        </w:tabs>
      </w:pPr>
      <w:rPr>
        <w:rFonts w:hint="eastAsia" w:cs="Times New Roman"/>
      </w:rPr>
    </w:lvl>
    <w:lvl w:ilvl="1">
      <w:start w:val="1"/>
      <w:numFmt w:val="decimal"/>
      <w:pStyle w:val="1018"/>
      <w:isLgl w:val="false"/>
      <w:suff w:val="tab"/>
      <w:lvlText w:val="%1.%2"/>
      <w:lvlJc w:val="left"/>
      <w:pPr>
        <w:pStyle w:val="906"/>
        <w:ind w:left="567" w:hanging="283"/>
        <w:tabs>
          <w:tab w:val="num" w:pos="1004" w:leader="none"/>
        </w:tabs>
      </w:pPr>
      <w:rPr>
        <w:rFonts w:hint="eastAsia" w:cs="Times New Roman"/>
      </w:rPr>
    </w:lvl>
    <w:lvl w:ilvl="2">
      <w:start w:val="1"/>
      <w:numFmt w:val="decimal"/>
      <w:isLgl w:val="false"/>
      <w:suff w:val="tab"/>
      <w:lvlText w:val="%1.%2.%3"/>
      <w:lvlJc w:val="left"/>
      <w:pPr>
        <w:pStyle w:val="906"/>
        <w:ind w:left="1134" w:hanging="567"/>
        <w:tabs>
          <w:tab w:val="num" w:pos="1647" w:leader="none"/>
        </w:tabs>
      </w:pPr>
      <w:rPr>
        <w:rFonts w:hint="eastAsia" w:cs="Times New Roman"/>
      </w:rPr>
    </w:lvl>
    <w:lvl w:ilvl="3">
      <w:start w:val="1"/>
      <w:numFmt w:val="decimal"/>
      <w:isLgl w:val="false"/>
      <w:suff w:val="tab"/>
      <w:lvlText w:val="%1.%2.%3.%4"/>
      <w:lvlJc w:val="left"/>
      <w:pPr>
        <w:pStyle w:val="906"/>
        <w:ind w:left="2851" w:hanging="708"/>
        <w:tabs>
          <w:tab w:val="num" w:pos="3223" w:leader="none"/>
        </w:tabs>
      </w:pPr>
      <w:rPr>
        <w:rFonts w:hint="eastAsia" w:cs="Times New Roman"/>
      </w:rPr>
    </w:lvl>
    <w:lvl w:ilvl="4">
      <w:start w:val="1"/>
      <w:numFmt w:val="decimal"/>
      <w:isLgl w:val="false"/>
      <w:suff w:val="tab"/>
      <w:lvlText w:val="%1.%2.%3.%4.%5"/>
      <w:lvlJc w:val="left"/>
      <w:pPr>
        <w:pStyle w:val="906"/>
        <w:ind w:left="3418" w:hanging="850"/>
        <w:tabs>
          <w:tab w:val="num" w:pos="3648" w:leader="none"/>
        </w:tabs>
      </w:pPr>
      <w:rPr>
        <w:rFonts w:hint="eastAsia" w:cs="Times New Roman"/>
      </w:rPr>
    </w:lvl>
    <w:lvl w:ilvl="5">
      <w:start w:val="1"/>
      <w:numFmt w:val="decimal"/>
      <w:isLgl w:val="false"/>
      <w:suff w:val="tab"/>
      <w:lvlText w:val="%1.%2.%3.%4.%5.%6"/>
      <w:lvlJc w:val="left"/>
      <w:pPr>
        <w:pStyle w:val="906"/>
        <w:ind w:left="4127" w:hanging="1134"/>
        <w:tabs>
          <w:tab w:val="num" w:pos="4433" w:leader="none"/>
        </w:tabs>
      </w:pPr>
      <w:rPr>
        <w:rFonts w:hint="eastAsia" w:cs="Times New Roman"/>
      </w:rPr>
    </w:lvl>
    <w:lvl w:ilvl="6">
      <w:start w:val="1"/>
      <w:numFmt w:val="decimal"/>
      <w:isLgl w:val="false"/>
      <w:suff w:val="tab"/>
      <w:lvlText w:val="%1.%2.%3.%4.%5.%6.%7"/>
      <w:lvlJc w:val="left"/>
      <w:pPr>
        <w:pStyle w:val="906"/>
        <w:ind w:left="4694" w:hanging="1276"/>
        <w:tabs>
          <w:tab w:val="num" w:pos="4858" w:leader="none"/>
        </w:tabs>
      </w:pPr>
      <w:rPr>
        <w:rFonts w:hint="eastAsia" w:cs="Times New Roman"/>
      </w:rPr>
    </w:lvl>
    <w:lvl w:ilvl="7">
      <w:start w:val="1"/>
      <w:numFmt w:val="decimal"/>
      <w:isLgl w:val="false"/>
      <w:suff w:val="tab"/>
      <w:lvlText w:val="%1.%2.%3.%4.%5.%6.%7.%8"/>
      <w:lvlJc w:val="left"/>
      <w:pPr>
        <w:pStyle w:val="906"/>
        <w:ind w:left="5261" w:hanging="1418"/>
        <w:tabs>
          <w:tab w:val="num" w:pos="5643" w:leader="none"/>
        </w:tabs>
      </w:pPr>
      <w:rPr>
        <w:rFonts w:hint="eastAsia" w:cs="Times New Roman"/>
      </w:rPr>
    </w:lvl>
    <w:lvl w:ilvl="8">
      <w:start w:val="1"/>
      <w:numFmt w:val="decimal"/>
      <w:isLgl w:val="false"/>
      <w:suff w:val="tab"/>
      <w:lvlText w:val="%1.%2.%3.%4.%5.%6.%7.%8.%9"/>
      <w:lvlJc w:val="left"/>
      <w:pPr>
        <w:pStyle w:val="906"/>
        <w:ind w:left="5969" w:hanging="1700"/>
        <w:tabs>
          <w:tab w:val="num" w:pos="6429" w:leader="none"/>
        </w:tabs>
      </w:pPr>
      <w:rPr>
        <w:rFonts w:hint="eastAsia" w:cs="Times New Roman"/>
      </w:rPr>
    </w:lvl>
  </w:abstractNum>
  <w:abstractNum w:abstractNumId="8">
    <w:multiLevelType w:val="hybridMultilevel"/>
    <w:lvl w:ilvl="0">
      <w:start w:val="1"/>
      <w:numFmt w:val="decimal"/>
      <w:isLgl w:val="false"/>
      <w:suff w:val="tab"/>
      <w:lvlText w:val="%1、"/>
      <w:lvlJc w:val="left"/>
      <w:pPr>
        <w:pStyle w:val="906"/>
        <w:ind w:left="360" w:hanging="36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9">
    <w:multiLevelType w:val="hybridMultilevel"/>
    <w:lvl w:ilvl="0">
      <w:start w:val="3"/>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5"/>
  </w:num>
  <w:num w:numId="4">
    <w:abstractNumId w:val="3"/>
  </w:num>
  <w:num w:numId="5">
    <w:abstractNumId w:val="6"/>
  </w:num>
  <w:num w:numId="6">
    <w:abstractNumId w:val="9"/>
  </w:num>
  <w:num w:numId="7">
    <w:abstractNumId w:val="1"/>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6"/>
    <w:next w:val="9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6"/>
    <w:next w:val="9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6"/>
    <w:next w:val="9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6"/>
    <w:next w:val="9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6"/>
    <w:next w:val="9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6"/>
    <w:next w:val="9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6"/>
    <w:next w:val="9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6"/>
    <w:next w:val="9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6"/>
    <w:next w:val="9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6"/>
    <w:next w:val="9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6"/>
    <w:next w:val="9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6"/>
    <w:next w:val="906"/>
    <w:link w:val="38"/>
    <w:uiPriority w:val="29"/>
    <w:qFormat/>
    <w:pPr>
      <w:ind w:left="720" w:right="720"/>
    </w:pPr>
    <w:rPr>
      <w:i/>
    </w:rPr>
  </w:style>
  <w:style w:type="character" w:styleId="38">
    <w:name w:val="Quote Char"/>
    <w:link w:val="37"/>
    <w:uiPriority w:val="29"/>
    <w:rPr>
      <w:i/>
    </w:rPr>
  </w:style>
  <w:style w:type="paragraph" w:styleId="39">
    <w:name w:val="Intense Quote"/>
    <w:basedOn w:val="906"/>
    <w:next w:val="9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6"/>
    <w:next w:val="9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6"/>
    <w:next w:val="906"/>
    <w:uiPriority w:val="39"/>
    <w:unhideWhenUsed/>
    <w:pPr>
      <w:ind w:left="0" w:right="0" w:firstLine="0"/>
      <w:spacing w:after="57"/>
    </w:pPr>
  </w:style>
  <w:style w:type="paragraph" w:styleId="181">
    <w:name w:val="toc 2"/>
    <w:basedOn w:val="906"/>
    <w:next w:val="906"/>
    <w:uiPriority w:val="39"/>
    <w:unhideWhenUsed/>
    <w:pPr>
      <w:ind w:left="283" w:right="0" w:firstLine="0"/>
      <w:spacing w:after="57"/>
    </w:pPr>
  </w:style>
  <w:style w:type="paragraph" w:styleId="182">
    <w:name w:val="toc 3"/>
    <w:basedOn w:val="906"/>
    <w:next w:val="906"/>
    <w:uiPriority w:val="39"/>
    <w:unhideWhenUsed/>
    <w:pPr>
      <w:ind w:left="567" w:right="0" w:firstLine="0"/>
      <w:spacing w:after="57"/>
    </w:pPr>
  </w:style>
  <w:style w:type="paragraph" w:styleId="183">
    <w:name w:val="toc 4"/>
    <w:basedOn w:val="906"/>
    <w:next w:val="906"/>
    <w:uiPriority w:val="39"/>
    <w:unhideWhenUsed/>
    <w:pPr>
      <w:ind w:left="850" w:right="0" w:firstLine="0"/>
      <w:spacing w:after="57"/>
    </w:pPr>
  </w:style>
  <w:style w:type="paragraph" w:styleId="184">
    <w:name w:val="toc 5"/>
    <w:basedOn w:val="906"/>
    <w:next w:val="906"/>
    <w:uiPriority w:val="39"/>
    <w:unhideWhenUsed/>
    <w:pPr>
      <w:ind w:left="1134" w:right="0" w:firstLine="0"/>
      <w:spacing w:after="57"/>
    </w:pPr>
  </w:style>
  <w:style w:type="paragraph" w:styleId="185">
    <w:name w:val="toc 6"/>
    <w:basedOn w:val="906"/>
    <w:next w:val="906"/>
    <w:uiPriority w:val="39"/>
    <w:unhideWhenUsed/>
    <w:pPr>
      <w:ind w:left="1417" w:right="0" w:firstLine="0"/>
      <w:spacing w:after="57"/>
    </w:pPr>
  </w:style>
  <w:style w:type="paragraph" w:styleId="186">
    <w:name w:val="toc 7"/>
    <w:basedOn w:val="906"/>
    <w:next w:val="906"/>
    <w:uiPriority w:val="39"/>
    <w:unhideWhenUsed/>
    <w:pPr>
      <w:ind w:left="1701" w:right="0" w:firstLine="0"/>
      <w:spacing w:after="57"/>
    </w:pPr>
  </w:style>
  <w:style w:type="paragraph" w:styleId="187">
    <w:name w:val="toc 8"/>
    <w:basedOn w:val="906"/>
    <w:next w:val="906"/>
    <w:uiPriority w:val="39"/>
    <w:unhideWhenUsed/>
    <w:pPr>
      <w:ind w:left="1984" w:right="0" w:firstLine="0"/>
      <w:spacing w:after="57"/>
    </w:pPr>
  </w:style>
  <w:style w:type="paragraph" w:styleId="188">
    <w:name w:val="toc 9"/>
    <w:basedOn w:val="906"/>
    <w:next w:val="9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lang w:val="en-US" w:eastAsia="zh-CN" w:bidi="ar-SA"/>
    </w:rPr>
  </w:style>
  <w:style w:type="paragraph" w:styleId="907">
    <w:name w:val="标题 1"/>
    <w:basedOn w:val="906"/>
    <w:next w:val="906"/>
    <w:link w:val="918"/>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08">
    <w:name w:val="标题 2"/>
    <w:basedOn w:val="906"/>
    <w:next w:val="906"/>
    <w:link w:val="919"/>
    <w:uiPriority w:val="99"/>
    <w:qFormat/>
    <w:pPr>
      <w:numPr>
        <w:ilvl w:val="1"/>
        <w:numId w:val="1"/>
      </w:numPr>
      <w:jc w:val="left"/>
      <w:keepLines/>
      <w:keepNext/>
      <w:spacing w:before="120" w:after="120"/>
      <w:outlineLvl w:val="1"/>
    </w:pPr>
    <w:rPr>
      <w:rFonts w:ascii="Cambria" w:hAnsi="Cambria"/>
      <w:b/>
      <w:bCs/>
      <w:sz w:val="32"/>
      <w:szCs w:val="32"/>
    </w:rPr>
  </w:style>
  <w:style w:type="paragraph" w:styleId="909">
    <w:name w:val="标题 3"/>
    <w:basedOn w:val="906"/>
    <w:next w:val="921"/>
    <w:link w:val="920"/>
    <w:uiPriority w:val="99"/>
    <w:qFormat/>
    <w:pPr>
      <w:numPr>
        <w:ilvl w:val="2"/>
        <w:numId w:val="1"/>
      </w:numPr>
      <w:keepLines/>
      <w:keepNext/>
      <w:spacing w:before="120" w:after="120"/>
      <w:outlineLvl w:val="2"/>
    </w:pPr>
    <w:rPr>
      <w:b/>
      <w:bCs/>
      <w:sz w:val="32"/>
      <w:szCs w:val="32"/>
    </w:rPr>
  </w:style>
  <w:style w:type="paragraph" w:styleId="910">
    <w:name w:val="标题 4"/>
    <w:basedOn w:val="906"/>
    <w:next w:val="906"/>
    <w:link w:val="923"/>
    <w:uiPriority w:val="99"/>
    <w:qFormat/>
    <w:pPr>
      <w:numPr>
        <w:ilvl w:val="3"/>
        <w:numId w:val="1"/>
      </w:numPr>
      <w:keepLines/>
      <w:keepNext/>
      <w:spacing w:before="120" w:after="120"/>
      <w:outlineLvl w:val="3"/>
    </w:pPr>
    <w:rPr>
      <w:rFonts w:ascii="Cambria" w:hAnsi="Cambria"/>
      <w:b/>
      <w:bCs/>
      <w:sz w:val="28"/>
      <w:szCs w:val="28"/>
    </w:rPr>
  </w:style>
  <w:style w:type="paragraph" w:styleId="911">
    <w:name w:val="标题 5"/>
    <w:basedOn w:val="906"/>
    <w:next w:val="921"/>
    <w:link w:val="924"/>
    <w:uiPriority w:val="99"/>
    <w:qFormat/>
    <w:pPr>
      <w:numPr>
        <w:ilvl w:val="4"/>
        <w:numId w:val="1"/>
      </w:numPr>
      <w:keepNext/>
      <w:spacing w:before="156" w:after="156"/>
      <w:outlineLvl w:val="4"/>
    </w:pPr>
    <w:rPr>
      <w:b/>
      <w:bCs/>
      <w:sz w:val="28"/>
      <w:szCs w:val="28"/>
    </w:rPr>
  </w:style>
  <w:style w:type="paragraph" w:styleId="912">
    <w:name w:val="标题 6"/>
    <w:basedOn w:val="906"/>
    <w:next w:val="906"/>
    <w:link w:val="92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13">
    <w:name w:val="标题 7"/>
    <w:basedOn w:val="906"/>
    <w:next w:val="906"/>
    <w:link w:val="926"/>
    <w:uiPriority w:val="99"/>
    <w:qFormat/>
    <w:pPr>
      <w:numPr>
        <w:ilvl w:val="6"/>
        <w:numId w:val="1"/>
      </w:numPr>
      <w:keepLines/>
      <w:keepNext/>
      <w:spacing w:before="240" w:after="64" w:line="320" w:lineRule="auto"/>
      <w:outlineLvl w:val="6"/>
    </w:pPr>
    <w:rPr>
      <w:b/>
      <w:bCs/>
      <w:sz w:val="24"/>
      <w:szCs w:val="24"/>
    </w:rPr>
  </w:style>
  <w:style w:type="paragraph" w:styleId="914">
    <w:name w:val="标题 8"/>
    <w:basedOn w:val="906"/>
    <w:next w:val="906"/>
    <w:link w:val="927"/>
    <w:uiPriority w:val="99"/>
    <w:qFormat/>
    <w:pPr>
      <w:numPr>
        <w:ilvl w:val="7"/>
        <w:numId w:val="1"/>
      </w:numPr>
      <w:keepLines/>
      <w:keepNext/>
      <w:spacing w:before="240" w:after="64" w:line="320" w:lineRule="auto"/>
      <w:outlineLvl w:val="7"/>
    </w:pPr>
    <w:rPr>
      <w:rFonts w:ascii="Cambria" w:hAnsi="Cambria"/>
      <w:sz w:val="24"/>
      <w:szCs w:val="24"/>
    </w:rPr>
  </w:style>
  <w:style w:type="paragraph" w:styleId="915">
    <w:name w:val="标题 9"/>
    <w:basedOn w:val="906"/>
    <w:next w:val="906"/>
    <w:link w:val="928"/>
    <w:uiPriority w:val="99"/>
    <w:qFormat/>
    <w:pPr>
      <w:numPr>
        <w:ilvl w:val="8"/>
        <w:numId w:val="1"/>
      </w:numPr>
      <w:keepLines/>
      <w:keepNext/>
      <w:spacing w:before="240" w:after="64" w:line="320" w:lineRule="auto"/>
      <w:outlineLvl w:val="8"/>
    </w:pPr>
    <w:rPr>
      <w:rFonts w:ascii="Cambria" w:hAnsi="Cambria"/>
      <w:szCs w:val="21"/>
    </w:rPr>
  </w:style>
  <w:style w:type="character" w:styleId="916">
    <w:name w:val="默认段落字体"/>
    <w:next w:val="916"/>
    <w:link w:val="906"/>
    <w:uiPriority w:val="1"/>
    <w:unhideWhenUsed/>
  </w:style>
  <w:style w:type="table" w:styleId="917">
    <w:name w:val="普通表格"/>
    <w:next w:val="917"/>
    <w:link w:val="906"/>
    <w:uiPriority w:val="99"/>
    <w:unhideWhenUsed/>
    <w:tblPr/>
  </w:style>
  <w:style w:type="character" w:styleId="918">
    <w:name w:val="标题 1 字符"/>
    <w:next w:val="918"/>
    <w:link w:val="907"/>
    <w:rPr>
      <w:rFonts w:ascii="黑体" w:eastAsia="黑体"/>
      <w:b/>
      <w:sz w:val="28"/>
    </w:rPr>
  </w:style>
  <w:style w:type="character" w:styleId="919">
    <w:name w:val="标题 2 字符"/>
    <w:next w:val="919"/>
    <w:link w:val="908"/>
    <w:uiPriority w:val="99"/>
    <w:rPr>
      <w:rFonts w:ascii="Cambria" w:hAnsi="Cambria"/>
      <w:b/>
      <w:bCs/>
      <w:sz w:val="32"/>
      <w:szCs w:val="32"/>
    </w:rPr>
  </w:style>
  <w:style w:type="character" w:styleId="920">
    <w:name w:val="标题 3 字符"/>
    <w:next w:val="920"/>
    <w:link w:val="909"/>
    <w:uiPriority w:val="99"/>
    <w:rPr>
      <w:b/>
      <w:bCs/>
      <w:sz w:val="32"/>
      <w:szCs w:val="32"/>
    </w:rPr>
  </w:style>
  <w:style w:type="paragraph" w:styleId="921">
    <w:name w:val="正文缩进"/>
    <w:basedOn w:val="906"/>
    <w:next w:val="921"/>
    <w:link w:val="922"/>
    <w:qFormat/>
    <w:pPr>
      <w:ind w:firstLine="420"/>
    </w:pPr>
  </w:style>
  <w:style w:type="character" w:styleId="922">
    <w:name w:val="正文缩进 字符"/>
    <w:next w:val="922"/>
    <w:link w:val="921"/>
    <w:rPr>
      <w:rFonts w:eastAsia="宋体" w:cs="Times New Roman"/>
      <w:sz w:val="21"/>
      <w:lang w:val="en-US" w:eastAsia="zh-CN" w:bidi="ar-SA"/>
    </w:rPr>
  </w:style>
  <w:style w:type="character" w:styleId="923">
    <w:name w:val="标题 4 字符"/>
    <w:next w:val="923"/>
    <w:link w:val="910"/>
    <w:uiPriority w:val="99"/>
    <w:rPr>
      <w:rFonts w:ascii="Cambria" w:hAnsi="Cambria"/>
      <w:b/>
      <w:bCs/>
      <w:sz w:val="28"/>
      <w:szCs w:val="28"/>
    </w:rPr>
  </w:style>
  <w:style w:type="character" w:styleId="924">
    <w:name w:val="标题 5 字符"/>
    <w:next w:val="924"/>
    <w:link w:val="911"/>
    <w:uiPriority w:val="99"/>
    <w:rPr>
      <w:b/>
      <w:bCs/>
      <w:sz w:val="28"/>
      <w:szCs w:val="28"/>
    </w:rPr>
  </w:style>
  <w:style w:type="character" w:styleId="925">
    <w:name w:val="标题 6 字符"/>
    <w:next w:val="925"/>
    <w:link w:val="912"/>
    <w:uiPriority w:val="99"/>
    <w:rPr>
      <w:rFonts w:ascii="Cambria" w:hAnsi="Cambria"/>
      <w:b/>
      <w:bCs/>
      <w:sz w:val="24"/>
      <w:szCs w:val="24"/>
    </w:rPr>
  </w:style>
  <w:style w:type="character" w:styleId="926">
    <w:name w:val="标题 7 字符"/>
    <w:next w:val="926"/>
    <w:link w:val="913"/>
    <w:uiPriority w:val="99"/>
    <w:rPr>
      <w:b/>
      <w:bCs/>
      <w:sz w:val="24"/>
      <w:szCs w:val="24"/>
    </w:rPr>
  </w:style>
  <w:style w:type="character" w:styleId="927">
    <w:name w:val="标题 8 字符"/>
    <w:next w:val="927"/>
    <w:link w:val="914"/>
    <w:uiPriority w:val="99"/>
    <w:rPr>
      <w:rFonts w:ascii="Cambria" w:hAnsi="Cambria"/>
      <w:sz w:val="24"/>
      <w:szCs w:val="24"/>
    </w:rPr>
  </w:style>
  <w:style w:type="character" w:styleId="928">
    <w:name w:val="标题 9 字符"/>
    <w:next w:val="928"/>
    <w:link w:val="915"/>
    <w:uiPriority w:val="99"/>
    <w:rPr>
      <w:rFonts w:ascii="Cambria" w:hAnsi="Cambria"/>
      <w:sz w:val="21"/>
      <w:szCs w:val="21"/>
    </w:rPr>
  </w:style>
  <w:style w:type="paragraph" w:styleId="929">
    <w:name w:val="列表 3"/>
    <w:basedOn w:val="906"/>
    <w:next w:val="929"/>
    <w:link w:val="906"/>
    <w:uiPriority w:val="99"/>
    <w:pPr>
      <w:ind w:left="1260" w:hanging="420"/>
    </w:pPr>
  </w:style>
  <w:style w:type="paragraph" w:styleId="930">
    <w:name w:val="目录 7"/>
    <w:basedOn w:val="906"/>
    <w:next w:val="906"/>
    <w:link w:val="906"/>
    <w:uiPriority w:val="99"/>
    <w:semiHidden/>
    <w:pPr>
      <w:ind w:left="1260"/>
      <w:jc w:val="left"/>
    </w:pPr>
    <w:rPr>
      <w:sz w:val="18"/>
    </w:rPr>
  </w:style>
  <w:style w:type="paragraph" w:styleId="931">
    <w:name w:val="索引 8"/>
    <w:basedOn w:val="906"/>
    <w:next w:val="906"/>
    <w:link w:val="906"/>
    <w:uiPriority w:val="99"/>
    <w:semiHidden/>
    <w:pPr>
      <w:ind w:left="2940"/>
    </w:pPr>
  </w:style>
  <w:style w:type="paragraph" w:styleId="932">
    <w:name w:val="索引 5"/>
    <w:basedOn w:val="906"/>
    <w:next w:val="906"/>
    <w:link w:val="906"/>
    <w:uiPriority w:val="99"/>
    <w:semiHidden/>
    <w:pPr>
      <w:ind w:left="1680"/>
    </w:pPr>
  </w:style>
  <w:style w:type="paragraph" w:styleId="933">
    <w:name w:val="文档结构图"/>
    <w:basedOn w:val="906"/>
    <w:next w:val="933"/>
    <w:link w:val="934"/>
    <w:uiPriority w:val="99"/>
    <w:semiHidden/>
    <w:pPr>
      <w:shd w:val="clear" w:color="auto" w:fill="000080"/>
    </w:pPr>
    <w:rPr>
      <w:sz w:val="2"/>
    </w:rPr>
  </w:style>
  <w:style w:type="character" w:styleId="934">
    <w:name w:val="文档结构图 字符"/>
    <w:next w:val="934"/>
    <w:link w:val="933"/>
    <w:uiPriority w:val="99"/>
    <w:semiHidden/>
    <w:rPr>
      <w:rFonts w:cs="Times New Roman"/>
      <w:sz w:val="2"/>
    </w:rPr>
  </w:style>
  <w:style w:type="paragraph" w:styleId="935">
    <w:name w:val="批注文字"/>
    <w:basedOn w:val="906"/>
    <w:next w:val="935"/>
    <w:link w:val="936"/>
    <w:pPr>
      <w:jc w:val="left"/>
    </w:pPr>
    <w:rPr>
      <w:sz w:val="20"/>
    </w:rPr>
  </w:style>
  <w:style w:type="character" w:styleId="936">
    <w:name w:val="批注文字 字符1"/>
    <w:next w:val="936"/>
    <w:link w:val="935"/>
    <w:rPr>
      <w:rFonts w:cs="Times New Roman"/>
      <w:sz w:val="20"/>
      <w:szCs w:val="20"/>
    </w:rPr>
  </w:style>
  <w:style w:type="paragraph" w:styleId="937">
    <w:name w:val="索引 6"/>
    <w:basedOn w:val="906"/>
    <w:next w:val="906"/>
    <w:link w:val="906"/>
    <w:uiPriority w:val="99"/>
    <w:semiHidden/>
    <w:pPr>
      <w:ind w:left="2100"/>
    </w:pPr>
  </w:style>
  <w:style w:type="paragraph" w:styleId="938">
    <w:name w:val="正文文本 3"/>
    <w:basedOn w:val="906"/>
    <w:next w:val="938"/>
    <w:link w:val="939"/>
    <w:uiPriority w:val="99"/>
    <w:rPr>
      <w:sz w:val="16"/>
      <w:szCs w:val="16"/>
    </w:rPr>
  </w:style>
  <w:style w:type="character" w:styleId="939">
    <w:name w:val="正文文本 3 字符"/>
    <w:next w:val="939"/>
    <w:link w:val="938"/>
    <w:uiPriority w:val="99"/>
    <w:semiHidden/>
    <w:rPr>
      <w:rFonts w:cs="Times New Roman"/>
      <w:sz w:val="16"/>
      <w:szCs w:val="16"/>
    </w:rPr>
  </w:style>
  <w:style w:type="paragraph" w:styleId="940">
    <w:name w:val="正文文本"/>
    <w:basedOn w:val="906"/>
    <w:next w:val="906"/>
    <w:link w:val="941"/>
    <w:uiPriority w:val="99"/>
    <w:rPr>
      <w:sz w:val="20"/>
    </w:rPr>
  </w:style>
  <w:style w:type="character" w:styleId="941">
    <w:name w:val="正文文本 字符"/>
    <w:next w:val="941"/>
    <w:link w:val="940"/>
    <w:uiPriority w:val="99"/>
    <w:semiHidden/>
    <w:rPr>
      <w:rFonts w:cs="Times New Roman"/>
      <w:sz w:val="20"/>
      <w:szCs w:val="20"/>
    </w:rPr>
  </w:style>
  <w:style w:type="paragraph" w:styleId="942">
    <w:name w:val="正文文本缩进"/>
    <w:basedOn w:val="906"/>
    <w:next w:val="944"/>
    <w:link w:val="943"/>
    <w:uiPriority w:val="99"/>
    <w:pPr>
      <w:ind w:firstLine="645"/>
    </w:pPr>
    <w:rPr>
      <w:sz w:val="20"/>
    </w:rPr>
  </w:style>
  <w:style w:type="character" w:styleId="943">
    <w:name w:val="正文文本缩进 字符"/>
    <w:next w:val="943"/>
    <w:link w:val="942"/>
    <w:uiPriority w:val="99"/>
    <w:semiHidden/>
    <w:rPr>
      <w:rFonts w:cs="Times New Roman"/>
      <w:sz w:val="20"/>
      <w:szCs w:val="20"/>
    </w:rPr>
  </w:style>
  <w:style w:type="paragraph" w:styleId="944">
    <w:name w:val="寄信人地址"/>
    <w:basedOn w:val="906"/>
    <w:next w:val="944"/>
    <w:link w:val="906"/>
    <w:qFormat/>
    <w:rPr>
      <w:rFonts w:ascii="Arial" w:hAnsi="Arial"/>
    </w:rPr>
  </w:style>
  <w:style w:type="paragraph" w:styleId="945">
    <w:name w:val="索引 4"/>
    <w:basedOn w:val="906"/>
    <w:next w:val="906"/>
    <w:link w:val="906"/>
    <w:uiPriority w:val="99"/>
    <w:semiHidden/>
    <w:pPr>
      <w:ind w:left="1260"/>
    </w:pPr>
  </w:style>
  <w:style w:type="paragraph" w:styleId="946">
    <w:name w:val="目录 5"/>
    <w:basedOn w:val="906"/>
    <w:next w:val="906"/>
    <w:link w:val="906"/>
    <w:uiPriority w:val="99"/>
    <w:semiHidden/>
    <w:pPr>
      <w:ind w:left="840"/>
      <w:jc w:val="left"/>
    </w:pPr>
    <w:rPr>
      <w:sz w:val="18"/>
    </w:rPr>
  </w:style>
  <w:style w:type="paragraph" w:styleId="947">
    <w:name w:val="目录 3"/>
    <w:basedOn w:val="906"/>
    <w:next w:val="906"/>
    <w:link w:val="906"/>
    <w:uiPriority w:val="99"/>
    <w:semiHidden/>
    <w:pPr>
      <w:ind w:left="420"/>
      <w:jc w:val="left"/>
    </w:pPr>
    <w:rPr>
      <w:i/>
      <w:sz w:val="20"/>
    </w:rPr>
  </w:style>
  <w:style w:type="paragraph" w:styleId="948">
    <w:name w:val="纯文本"/>
    <w:basedOn w:val="906"/>
    <w:next w:val="948"/>
    <w:link w:val="949"/>
    <w:qFormat/>
    <w:rPr>
      <w:rFonts w:ascii="宋体" w:hAnsi="Courier New"/>
      <w:szCs w:val="21"/>
    </w:rPr>
  </w:style>
  <w:style w:type="character" w:styleId="949">
    <w:name w:val="纯文本 字符"/>
    <w:next w:val="949"/>
    <w:link w:val="948"/>
    <w:rPr>
      <w:rFonts w:ascii="宋体" w:hAnsi="Courier New" w:cs="Courier New"/>
      <w:sz w:val="21"/>
      <w:szCs w:val="21"/>
    </w:rPr>
  </w:style>
  <w:style w:type="paragraph" w:styleId="950">
    <w:name w:val="目录 8"/>
    <w:basedOn w:val="906"/>
    <w:next w:val="906"/>
    <w:link w:val="906"/>
    <w:uiPriority w:val="99"/>
    <w:semiHidden/>
    <w:pPr>
      <w:ind w:left="1470"/>
      <w:jc w:val="left"/>
    </w:pPr>
    <w:rPr>
      <w:sz w:val="18"/>
    </w:rPr>
  </w:style>
  <w:style w:type="paragraph" w:styleId="951">
    <w:name w:val="索引 3"/>
    <w:basedOn w:val="906"/>
    <w:next w:val="906"/>
    <w:link w:val="906"/>
    <w:uiPriority w:val="99"/>
    <w:semiHidden/>
    <w:pPr>
      <w:ind w:left="840"/>
    </w:pPr>
  </w:style>
  <w:style w:type="paragraph" w:styleId="952">
    <w:name w:val="日期"/>
    <w:basedOn w:val="906"/>
    <w:next w:val="906"/>
    <w:link w:val="953"/>
    <w:uiPriority w:val="99"/>
    <w:pPr>
      <w:ind w:left="100"/>
    </w:pPr>
    <w:rPr>
      <w:sz w:val="20"/>
    </w:rPr>
  </w:style>
  <w:style w:type="character" w:styleId="953">
    <w:name w:val="日期 字符"/>
    <w:next w:val="953"/>
    <w:link w:val="952"/>
    <w:uiPriority w:val="99"/>
    <w:semiHidden/>
    <w:rPr>
      <w:rFonts w:cs="Times New Roman"/>
      <w:sz w:val="20"/>
      <w:szCs w:val="20"/>
    </w:rPr>
  </w:style>
  <w:style w:type="paragraph" w:styleId="954">
    <w:name w:val="正文文本缩进 2"/>
    <w:basedOn w:val="906"/>
    <w:next w:val="954"/>
    <w:link w:val="955"/>
    <w:uiPriority w:val="99"/>
    <w:pPr>
      <w:ind w:left="630" w:firstLine="645"/>
    </w:pPr>
    <w:rPr>
      <w:sz w:val="20"/>
    </w:rPr>
  </w:style>
  <w:style w:type="character" w:styleId="955">
    <w:name w:val="正文文本缩进 2 字符"/>
    <w:next w:val="955"/>
    <w:link w:val="954"/>
    <w:uiPriority w:val="99"/>
    <w:semiHidden/>
    <w:rPr>
      <w:rFonts w:cs="Times New Roman"/>
      <w:sz w:val="20"/>
      <w:szCs w:val="20"/>
    </w:rPr>
  </w:style>
  <w:style w:type="paragraph" w:styleId="956">
    <w:name w:val="批注框文本"/>
    <w:basedOn w:val="906"/>
    <w:next w:val="956"/>
    <w:link w:val="957"/>
    <w:uiPriority w:val="99"/>
    <w:semiHidden/>
    <w:rPr>
      <w:sz w:val="18"/>
      <w:szCs w:val="18"/>
    </w:rPr>
  </w:style>
  <w:style w:type="character" w:styleId="957">
    <w:name w:val="批注框文本 字符"/>
    <w:next w:val="957"/>
    <w:link w:val="956"/>
    <w:uiPriority w:val="99"/>
    <w:semiHidden/>
    <w:rPr>
      <w:sz w:val="18"/>
      <w:szCs w:val="18"/>
    </w:rPr>
  </w:style>
  <w:style w:type="paragraph" w:styleId="958">
    <w:name w:val="页脚"/>
    <w:basedOn w:val="906"/>
    <w:next w:val="958"/>
    <w:link w:val="959"/>
    <w:uiPriority w:val="99"/>
    <w:pPr>
      <w:jc w:val="left"/>
      <w:tabs>
        <w:tab w:val="center" w:pos="4153" w:leader="none"/>
        <w:tab w:val="right" w:pos="8306" w:leader="none"/>
      </w:tabs>
    </w:pPr>
    <w:rPr>
      <w:sz w:val="18"/>
    </w:rPr>
  </w:style>
  <w:style w:type="character" w:styleId="959">
    <w:name w:val="页脚 字符"/>
    <w:next w:val="959"/>
    <w:link w:val="958"/>
    <w:uiPriority w:val="99"/>
    <w:rPr>
      <w:rFonts w:eastAsia="宋体" w:cs="Times New Roman"/>
      <w:sz w:val="18"/>
      <w:lang w:val="en-US" w:eastAsia="zh-CN" w:bidi="ar-SA"/>
    </w:rPr>
  </w:style>
  <w:style w:type="paragraph" w:styleId="960">
    <w:name w:val="页眉"/>
    <w:basedOn w:val="906"/>
    <w:next w:val="960"/>
    <w:link w:val="961"/>
    <w:uiPriority w:val="99"/>
    <w:pPr>
      <w:jc w:val="center"/>
      <w:tabs>
        <w:tab w:val="center" w:pos="4153" w:leader="none"/>
        <w:tab w:val="right" w:pos="8306" w:leader="none"/>
      </w:tabs>
      <w:pBdr>
        <w:bottom w:val="single" w:color="000000" w:sz="6" w:space="1"/>
      </w:pBdr>
    </w:pPr>
    <w:rPr>
      <w:sz w:val="18"/>
    </w:rPr>
  </w:style>
  <w:style w:type="character" w:styleId="961">
    <w:name w:val="页眉 字符"/>
    <w:next w:val="961"/>
    <w:link w:val="960"/>
    <w:uiPriority w:val="99"/>
    <w:semiHidden/>
    <w:rPr>
      <w:rFonts w:eastAsia="宋体" w:cs="Times New Roman"/>
      <w:sz w:val="18"/>
      <w:lang w:val="en-US" w:eastAsia="zh-CN" w:bidi="ar-SA"/>
    </w:rPr>
  </w:style>
  <w:style w:type="paragraph" w:styleId="962">
    <w:name w:val="目录 1"/>
    <w:basedOn w:val="906"/>
    <w:next w:val="906"/>
    <w:link w:val="906"/>
    <w:uiPriority w:val="39"/>
    <w:pPr>
      <w:jc w:val="left"/>
      <w:spacing w:before="120" w:after="120"/>
    </w:pPr>
    <w:rPr>
      <w:b/>
      <w:caps/>
      <w:sz w:val="20"/>
    </w:rPr>
  </w:style>
  <w:style w:type="paragraph" w:styleId="963">
    <w:name w:val="目录 4"/>
    <w:basedOn w:val="906"/>
    <w:next w:val="906"/>
    <w:link w:val="906"/>
    <w:uiPriority w:val="99"/>
    <w:semiHidden/>
    <w:pPr>
      <w:ind w:left="630"/>
      <w:jc w:val="left"/>
    </w:pPr>
    <w:rPr>
      <w:sz w:val="18"/>
    </w:rPr>
  </w:style>
  <w:style w:type="paragraph" w:styleId="964">
    <w:name w:val="索引标题"/>
    <w:basedOn w:val="906"/>
    <w:next w:val="965"/>
    <w:link w:val="906"/>
    <w:uiPriority w:val="99"/>
    <w:semiHidden/>
  </w:style>
  <w:style w:type="paragraph" w:styleId="965">
    <w:name w:val="索引 1"/>
    <w:basedOn w:val="906"/>
    <w:next w:val="906"/>
    <w:link w:val="906"/>
    <w:uiPriority w:val="99"/>
    <w:semiHidden/>
    <w:pPr>
      <w:jc w:val="center"/>
    </w:pPr>
    <w:rPr>
      <w:rFonts w:ascii="仿宋_GB2312" w:hAnsi="宋体" w:eastAsia="仿宋_GB2312"/>
      <w:sz w:val="30"/>
      <w:szCs w:val="24"/>
    </w:rPr>
  </w:style>
  <w:style w:type="paragraph" w:styleId="966">
    <w:name w:val="副标题"/>
    <w:basedOn w:val="906"/>
    <w:next w:val="906"/>
    <w:link w:val="967"/>
    <w:uiPriority w:val="11"/>
    <w:qFormat/>
    <w:pPr>
      <w:jc w:val="center"/>
      <w:spacing w:before="240" w:after="60" w:line="312" w:lineRule="auto"/>
      <w:outlineLvl w:val="1"/>
    </w:pPr>
    <w:rPr>
      <w:rFonts w:ascii="Calibri Light" w:hAnsi="Calibri Light"/>
      <w:b/>
      <w:bCs/>
      <w:sz w:val="32"/>
      <w:szCs w:val="32"/>
    </w:rPr>
  </w:style>
  <w:style w:type="character" w:styleId="967">
    <w:name w:val="副标题 字符"/>
    <w:next w:val="967"/>
    <w:link w:val="966"/>
    <w:uiPriority w:val="11"/>
    <w:rPr>
      <w:rFonts w:ascii="Calibri Light" w:hAnsi="Calibri Light" w:cs="Times New Roman"/>
      <w:b/>
      <w:bCs/>
      <w:sz w:val="32"/>
      <w:szCs w:val="32"/>
    </w:rPr>
  </w:style>
  <w:style w:type="paragraph" w:styleId="968">
    <w:name w:val="目录 6"/>
    <w:basedOn w:val="906"/>
    <w:next w:val="906"/>
    <w:link w:val="906"/>
    <w:uiPriority w:val="99"/>
    <w:semiHidden/>
    <w:pPr>
      <w:ind w:left="1050"/>
      <w:jc w:val="left"/>
    </w:pPr>
    <w:rPr>
      <w:sz w:val="18"/>
    </w:rPr>
  </w:style>
  <w:style w:type="paragraph" w:styleId="969">
    <w:name w:val="正文文本缩进 3"/>
    <w:basedOn w:val="906"/>
    <w:next w:val="969"/>
    <w:link w:val="970"/>
    <w:uiPriority w:val="99"/>
    <w:pPr>
      <w:ind w:left="645" w:firstLine="645"/>
    </w:pPr>
    <w:rPr>
      <w:sz w:val="16"/>
      <w:szCs w:val="16"/>
    </w:rPr>
  </w:style>
  <w:style w:type="character" w:styleId="970">
    <w:name w:val="正文文本缩进 3 字符"/>
    <w:next w:val="970"/>
    <w:link w:val="969"/>
    <w:uiPriority w:val="99"/>
    <w:semiHidden/>
    <w:rPr>
      <w:rFonts w:cs="Times New Roman"/>
      <w:sz w:val="16"/>
      <w:szCs w:val="16"/>
    </w:rPr>
  </w:style>
  <w:style w:type="paragraph" w:styleId="971">
    <w:name w:val="索引 7"/>
    <w:basedOn w:val="906"/>
    <w:next w:val="906"/>
    <w:link w:val="906"/>
    <w:uiPriority w:val="99"/>
    <w:semiHidden/>
    <w:pPr>
      <w:ind w:left="2520"/>
    </w:pPr>
  </w:style>
  <w:style w:type="paragraph" w:styleId="972">
    <w:name w:val="索引 9"/>
    <w:basedOn w:val="906"/>
    <w:next w:val="906"/>
    <w:link w:val="906"/>
    <w:uiPriority w:val="99"/>
    <w:semiHidden/>
    <w:pPr>
      <w:ind w:left="3360"/>
    </w:pPr>
  </w:style>
  <w:style w:type="paragraph" w:styleId="973">
    <w:name w:val="图表目录"/>
    <w:basedOn w:val="906"/>
    <w:next w:val="906"/>
    <w:link w:val="906"/>
    <w:uiPriority w:val="99"/>
    <w:semiHidden/>
    <w:pPr>
      <w:ind w:left="840" w:hanging="420"/>
    </w:pPr>
  </w:style>
  <w:style w:type="paragraph" w:styleId="974">
    <w:name w:val="目录 2"/>
    <w:basedOn w:val="906"/>
    <w:next w:val="906"/>
    <w:link w:val="906"/>
    <w:uiPriority w:val="39"/>
    <w:pPr>
      <w:ind w:left="210"/>
      <w:jc w:val="left"/>
    </w:pPr>
    <w:rPr>
      <w:smallCaps/>
      <w:sz w:val="20"/>
    </w:rPr>
  </w:style>
  <w:style w:type="paragraph" w:styleId="975">
    <w:name w:val="目录 9"/>
    <w:basedOn w:val="906"/>
    <w:next w:val="906"/>
    <w:link w:val="906"/>
    <w:uiPriority w:val="99"/>
    <w:semiHidden/>
    <w:pPr>
      <w:ind w:left="1680"/>
      <w:jc w:val="left"/>
    </w:pPr>
    <w:rPr>
      <w:sz w:val="18"/>
    </w:rPr>
  </w:style>
  <w:style w:type="paragraph" w:styleId="976">
    <w:name w:val="正文文本 2"/>
    <w:basedOn w:val="906"/>
    <w:next w:val="976"/>
    <w:link w:val="977"/>
    <w:uiPriority w:val="99"/>
    <w:pPr>
      <w:jc w:val="center"/>
      <w:widowControl/>
    </w:pPr>
    <w:rPr>
      <w:sz w:val="20"/>
    </w:rPr>
  </w:style>
  <w:style w:type="character" w:styleId="977">
    <w:name w:val="正文文本 2 字符"/>
    <w:next w:val="977"/>
    <w:link w:val="976"/>
    <w:uiPriority w:val="99"/>
    <w:semiHidden/>
    <w:rPr>
      <w:rFonts w:cs="Times New Roman"/>
      <w:sz w:val="20"/>
      <w:szCs w:val="20"/>
    </w:rPr>
  </w:style>
  <w:style w:type="paragraph" w:styleId="978">
    <w:name w:val="HTML 预设格式"/>
    <w:basedOn w:val="906"/>
    <w:next w:val="978"/>
    <w:link w:val="97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79">
    <w:name w:val="HTML 预设格式 字符"/>
    <w:next w:val="979"/>
    <w:link w:val="978"/>
    <w:uiPriority w:val="99"/>
    <w:semiHidden/>
    <w:rPr>
      <w:rFonts w:ascii="Courier New" w:hAnsi="Courier New" w:cs="Courier New"/>
      <w:sz w:val="20"/>
      <w:szCs w:val="20"/>
    </w:rPr>
  </w:style>
  <w:style w:type="paragraph" w:styleId="980">
    <w:name w:val="普通(网站)"/>
    <w:basedOn w:val="906"/>
    <w:next w:val="980"/>
    <w:link w:val="906"/>
    <w:uiPriority w:val="99"/>
    <w:pPr>
      <w:jc w:val="left"/>
      <w:spacing w:before="100" w:beforeAutospacing="1" w:after="100" w:afterAutospacing="1"/>
      <w:widowControl/>
    </w:pPr>
    <w:rPr>
      <w:rFonts w:ascii="Arial" w:hAnsi="Arial" w:cs="Arial"/>
      <w:sz w:val="24"/>
      <w:szCs w:val="24"/>
    </w:rPr>
  </w:style>
  <w:style w:type="paragraph" w:styleId="981">
    <w:name w:val="索引 2"/>
    <w:basedOn w:val="906"/>
    <w:next w:val="906"/>
    <w:link w:val="906"/>
    <w:uiPriority w:val="99"/>
    <w:semiHidden/>
    <w:pPr>
      <w:ind w:left="420"/>
    </w:pPr>
  </w:style>
  <w:style w:type="paragraph" w:styleId="982">
    <w:name w:val="标题"/>
    <w:basedOn w:val="906"/>
    <w:next w:val="982"/>
    <w:link w:val="983"/>
    <w:uiPriority w:val="10"/>
    <w:qFormat/>
    <w:pPr>
      <w:jc w:val="center"/>
      <w:spacing w:before="240" w:after="60"/>
      <w:outlineLvl w:val="0"/>
    </w:pPr>
    <w:rPr>
      <w:rFonts w:ascii="Cambria" w:hAnsi="Cambria"/>
      <w:b/>
      <w:bCs/>
      <w:sz w:val="32"/>
      <w:szCs w:val="32"/>
    </w:rPr>
  </w:style>
  <w:style w:type="character" w:styleId="983">
    <w:name w:val="标题 字符"/>
    <w:next w:val="983"/>
    <w:link w:val="982"/>
    <w:uiPriority w:val="10"/>
    <w:rPr>
      <w:rFonts w:ascii="Cambria" w:hAnsi="Cambria" w:cs="Times New Roman"/>
      <w:b/>
      <w:bCs/>
      <w:sz w:val="32"/>
      <w:szCs w:val="32"/>
    </w:rPr>
  </w:style>
  <w:style w:type="paragraph" w:styleId="984">
    <w:name w:val="批注主题"/>
    <w:basedOn w:val="935"/>
    <w:next w:val="935"/>
    <w:link w:val="985"/>
    <w:rPr>
      <w:b/>
      <w:bCs/>
    </w:rPr>
  </w:style>
  <w:style w:type="character" w:styleId="985">
    <w:name w:val="批注主题 字符"/>
    <w:next w:val="985"/>
    <w:link w:val="984"/>
    <w:qFormat/>
    <w:rPr>
      <w:rFonts w:cs="Times New Roman"/>
      <w:b/>
      <w:bCs/>
      <w:sz w:val="20"/>
      <w:szCs w:val="20"/>
    </w:rPr>
  </w:style>
  <w:style w:type="paragraph" w:styleId="986">
    <w:name w:val="正文首行缩进"/>
    <w:basedOn w:val="940"/>
    <w:next w:val="906"/>
    <w:link w:val="987"/>
    <w:uiPriority w:val="99"/>
    <w:pPr>
      <w:ind w:firstLine="420"/>
      <w:spacing w:after="120"/>
    </w:pPr>
    <w:rPr>
      <w:rFonts w:ascii="Times New Roman" w:hAnsi="Times New Roman" w:eastAsia="宋体"/>
      <w:sz w:val="21"/>
      <w:szCs w:val="24"/>
    </w:rPr>
  </w:style>
  <w:style w:type="character" w:styleId="987">
    <w:name w:val="正文首行缩进 字符"/>
    <w:next w:val="987"/>
    <w:link w:val="986"/>
    <w:uiPriority w:val="99"/>
    <w:semiHidden/>
  </w:style>
  <w:style w:type="paragraph" w:styleId="988">
    <w:name w:val="正文首行缩进 2"/>
    <w:basedOn w:val="942"/>
    <w:next w:val="988"/>
    <w:link w:val="989"/>
    <w:unhideWhenUsed/>
    <w:pPr>
      <w:ind w:left="420" w:firstLine="420"/>
      <w:spacing w:after="120"/>
    </w:pPr>
    <w:rPr>
      <w:sz w:val="21"/>
    </w:rPr>
  </w:style>
  <w:style w:type="character" w:styleId="989">
    <w:name w:val="正文首行缩进 2 字符"/>
    <w:next w:val="989"/>
    <w:link w:val="988"/>
    <w:semiHidden/>
    <w:rPr>
      <w:rFonts w:cs="Times New Roman"/>
      <w:sz w:val="21"/>
      <w:szCs w:val="20"/>
    </w:rPr>
  </w:style>
  <w:style w:type="table" w:styleId="990">
    <w:name w:val="网格型"/>
    <w:basedOn w:val="917"/>
    <w:next w:val="990"/>
    <w:link w:val="906"/>
    <w:uiPriority w:val="59"/>
    <w:rPr>
      <w:sz w:val="20"/>
      <w:szCs w:val="20"/>
    </w:rPr>
    <w:tblPr/>
  </w:style>
  <w:style w:type="character" w:styleId="991">
    <w:name w:val="要点"/>
    <w:next w:val="991"/>
    <w:link w:val="906"/>
    <w:qFormat/>
    <w:rPr>
      <w:b/>
      <w:bCs/>
    </w:rPr>
  </w:style>
  <w:style w:type="character" w:styleId="992">
    <w:name w:val="页码"/>
    <w:next w:val="992"/>
    <w:link w:val="906"/>
    <w:rPr>
      <w:rFonts w:cs="Times New Roman"/>
    </w:rPr>
  </w:style>
  <w:style w:type="character" w:styleId="993">
    <w:name w:val="已访问的超链接"/>
    <w:next w:val="993"/>
    <w:link w:val="906"/>
    <w:uiPriority w:val="99"/>
    <w:rPr>
      <w:rFonts w:cs="Times New Roman"/>
      <w:color w:val="800080"/>
      <w:u w:val="single"/>
    </w:rPr>
  </w:style>
  <w:style w:type="character" w:styleId="994">
    <w:name w:val="超链接"/>
    <w:next w:val="994"/>
    <w:link w:val="906"/>
    <w:uiPriority w:val="99"/>
    <w:rPr>
      <w:rFonts w:cs="Times New Roman"/>
      <w:color w:val="0000ff"/>
      <w:u w:val="single"/>
    </w:rPr>
  </w:style>
  <w:style w:type="character" w:styleId="995">
    <w:name w:val="批注引用"/>
    <w:next w:val="995"/>
    <w:link w:val="906"/>
    <w:rPr>
      <w:rFonts w:cs="Times New Roman"/>
      <w:sz w:val="21"/>
    </w:rPr>
  </w:style>
  <w:style w:type="character" w:styleId="996">
    <w:name w:val="标题 1 Char"/>
    <w:next w:val="996"/>
    <w:link w:val="907"/>
    <w:qFormat/>
    <w:rPr>
      <w:rFonts w:ascii="Times New Roman" w:hAnsi="Times New Roman" w:eastAsia="微软雅黑"/>
      <w:b/>
      <w:bCs/>
      <w:sz w:val="36"/>
      <w:szCs w:val="44"/>
    </w:rPr>
  </w:style>
  <w:style w:type="paragraph" w:styleId="997">
    <w:name w:val="List Paragraph"/>
    <w:basedOn w:val="906"/>
    <w:next w:val="906"/>
    <w:link w:val="906"/>
    <w:uiPriority w:val="34"/>
    <w:qFormat/>
    <w:pPr>
      <w:ind w:firstLine="420"/>
    </w:pPr>
  </w:style>
  <w:style w:type="paragraph" w:styleId="998">
    <w:name w:val="首行缩进"/>
    <w:basedOn w:val="906"/>
    <w:next w:val="998"/>
    <w:link w:val="906"/>
    <w:uiPriority w:val="99"/>
    <w:qFormat/>
    <w:pPr>
      <w:ind w:firstLine="480"/>
      <w:jc w:val="left"/>
      <w:spacing w:line="360" w:lineRule="auto"/>
    </w:pPr>
    <w:rPr>
      <w:rFonts w:ascii="宋体" w:hAnsi="宋体"/>
      <w:sz w:val="24"/>
    </w:rPr>
  </w:style>
  <w:style w:type="paragraph" w:styleId="999">
    <w:name w:val="正文文本11"/>
    <w:basedOn w:val="906"/>
    <w:next w:val="1000"/>
    <w:link w:val="906"/>
    <w:uiPriority w:val="99"/>
    <w:qFormat/>
    <w:rPr>
      <w:sz w:val="20"/>
    </w:rPr>
  </w:style>
  <w:style w:type="paragraph" w:styleId="1000">
    <w:name w:val="一级条标题"/>
    <w:basedOn w:val="1001"/>
    <w:next w:val="1002"/>
    <w:link w:val="90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1">
    <w:name w:val="章标题"/>
    <w:next w:val="906"/>
    <w:link w:val="906"/>
    <w:qFormat/>
    <w:pPr>
      <w:jc w:val="both"/>
      <w:spacing w:before="156" w:after="156"/>
      <w:outlineLvl w:val="1"/>
    </w:pPr>
    <w:rPr>
      <w:rFonts w:eastAsia="黑体"/>
      <w:sz w:val="21"/>
      <w:lang w:val="en-US" w:eastAsia="zh-CN" w:bidi="ar-SA"/>
    </w:rPr>
  </w:style>
  <w:style w:type="paragraph" w:styleId="1002">
    <w:name w:val="段"/>
    <w:next w:val="906"/>
    <w:link w:val="906"/>
    <w:qFormat/>
    <w:pPr>
      <w:ind w:firstLine="200"/>
      <w:jc w:val="both"/>
    </w:pPr>
    <w:rPr>
      <w:rFonts w:ascii="宋体"/>
      <w:sz w:val="21"/>
      <w:lang w:val="en-US" w:eastAsia="zh-CN" w:bidi="ar-SA"/>
    </w:rPr>
  </w:style>
  <w:style w:type="paragraph" w:styleId="1003">
    <w:name w:val="DAS正文"/>
    <w:next w:val="1003"/>
    <w:link w:val="906"/>
    <w:qFormat/>
    <w:pPr>
      <w:ind w:right="181" w:firstLine="480"/>
      <w:jc w:val="both"/>
      <w:spacing w:line="360" w:lineRule="auto"/>
      <w:widowControl w:val="off"/>
    </w:pPr>
    <w:rPr>
      <w:rFonts w:ascii="Verdana" w:hAnsi="Verdana"/>
      <w:sz w:val="21"/>
      <w:szCs w:val="24"/>
      <w:lang w:val="en-US" w:eastAsia="zh-CN" w:bidi="ar-SA"/>
    </w:rPr>
  </w:style>
  <w:style w:type="paragraph" w:styleId="1004">
    <w:name w:val="列表段落1"/>
    <w:basedOn w:val="906"/>
    <w:next w:val="1004"/>
    <w:link w:val="906"/>
    <w:uiPriority w:val="99"/>
    <w:qFormat/>
    <w:pPr>
      <w:ind w:firstLine="420"/>
    </w:pPr>
    <w:rPr>
      <w:rFonts w:ascii="Times New Roman" w:hAnsi="Times New Roman" w:eastAsia="宋体" w:cs="Times New Roman"/>
      <w:szCs w:val="20"/>
    </w:rPr>
  </w:style>
  <w:style w:type="character" w:styleId="1005">
    <w:name w:val="纯文本 Char3"/>
    <w:next w:val="1005"/>
    <w:link w:val="906"/>
    <w:rPr>
      <w:rFonts w:ascii="宋体" w:hAnsi="Courier New"/>
      <w:sz w:val="21"/>
    </w:rPr>
  </w:style>
  <w:style w:type="character" w:styleId="1006">
    <w:name w:val="para_small"/>
    <w:next w:val="1006"/>
    <w:link w:val="906"/>
    <w:uiPriority w:val="99"/>
    <w:rPr>
      <w:rFonts w:cs="Times New Roman"/>
    </w:rPr>
  </w:style>
  <w:style w:type="character" w:styleId="1007">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07"/>
    <w:link w:val="906"/>
    <w:rPr>
      <w:rFonts w:ascii="宋体" w:hAnsi="Courier New" w:eastAsia="宋体"/>
      <w:sz w:val="21"/>
      <w:lang w:val="en-US" w:eastAsia="zh-CN" w:bidi="ar-SA"/>
    </w:rPr>
  </w:style>
  <w:style w:type="character" w:styleId="1008">
    <w:name w:val="中等深浅列表 1 - 强调文字颜色 61"/>
    <w:next w:val="1008"/>
    <w:link w:val="906"/>
    <w:uiPriority w:val="19"/>
    <w:qFormat/>
    <w:rPr>
      <w:i/>
      <w:iCs/>
      <w:color w:val="404040"/>
    </w:rPr>
  </w:style>
  <w:style w:type="character" w:styleId="1009">
    <w:name w:val="二级目录 Char"/>
    <w:next w:val="1009"/>
    <w:link w:val="1010"/>
    <w:uiPriority w:val="99"/>
    <w:rPr>
      <w:b/>
      <w:sz w:val="30"/>
      <w:szCs w:val="28"/>
      <w:lang w:val="en-US" w:eastAsia="zh-CN" w:bidi="ar-SA"/>
    </w:rPr>
  </w:style>
  <w:style w:type="paragraph" w:styleId="1010">
    <w:name w:val="二级目录"/>
    <w:next w:val="906"/>
    <w:link w:val="1009"/>
    <w:uiPriority w:val="99"/>
    <w:pPr>
      <w:numPr>
        <w:ilvl w:val="0"/>
        <w:numId w:val="2"/>
      </w:numPr>
      <w:tabs>
        <w:tab w:val="left" w:pos="720" w:leader="none"/>
      </w:tabs>
      <w:outlineLvl w:val="1"/>
    </w:pPr>
    <w:rPr>
      <w:b/>
      <w:sz w:val="30"/>
      <w:szCs w:val="28"/>
      <w:lang w:val="en-US" w:eastAsia="zh-CN" w:bidi="ar-SA"/>
    </w:rPr>
  </w:style>
  <w:style w:type="character" w:styleId="1011">
    <w:name w:val="point_normal1"/>
    <w:next w:val="1011"/>
    <w:link w:val="906"/>
    <w:uiPriority w:val="99"/>
    <w:rPr>
      <w:rFonts w:ascii="Arial" w:hAnsi="Arial" w:cs="Arial"/>
      <w:sz w:val="18"/>
      <w:szCs w:val="18"/>
    </w:rPr>
  </w:style>
  <w:style w:type="character" w:styleId="1012">
    <w:name w:val="正文2 Char"/>
    <w:next w:val="1012"/>
    <w:link w:val="1013"/>
    <w:rPr>
      <w:sz w:val="24"/>
    </w:rPr>
  </w:style>
  <w:style w:type="paragraph" w:styleId="1013">
    <w:name w:val="正文2"/>
    <w:basedOn w:val="906"/>
    <w:next w:val="1013"/>
    <w:link w:val="1012"/>
    <w:pPr>
      <w:ind w:firstLine="510"/>
      <w:spacing w:before="156" w:line="360" w:lineRule="auto"/>
    </w:pPr>
    <w:rPr>
      <w:sz w:val="24"/>
    </w:rPr>
  </w:style>
  <w:style w:type="character" w:styleId="1014">
    <w:name w:val="标题 3 Char,h3 Char,3rd level Char,3 Char,标题4 Char,Heading 3 - old Char"/>
    <w:next w:val="1014"/>
    <w:link w:val="906"/>
    <w:uiPriority w:val="99"/>
    <w:rPr>
      <w:rFonts w:ascii="宋体" w:hAnsi="宋体" w:eastAsia="宋体" w:cs="Times New Roman"/>
      <w:b/>
      <w:bCs/>
      <w:sz w:val="32"/>
      <w:szCs w:val="32"/>
      <w:lang w:val="en-US" w:eastAsia="zh-CN" w:bidi="ar-SA"/>
    </w:rPr>
  </w:style>
  <w:style w:type="character" w:styleId="1015">
    <w:name w:val="批注文字 字符"/>
    <w:next w:val="1015"/>
    <w:link w:val="906"/>
    <w:rPr>
      <w:rFonts w:cs="Times New Roman"/>
      <w:sz w:val="20"/>
      <w:szCs w:val="20"/>
    </w:rPr>
  </w:style>
  <w:style w:type="paragraph" w:styleId="1016">
    <w:name w:val="丁华正文"/>
    <w:basedOn w:val="969"/>
    <w:next w:val="1016"/>
    <w:link w:val="906"/>
    <w:uiPriority w:val="99"/>
    <w:pPr>
      <w:ind w:left="0" w:firstLine="510"/>
      <w:spacing w:line="360" w:lineRule="auto"/>
    </w:pPr>
    <w:rPr>
      <w:rFonts w:ascii="Times New Roman" w:hAnsi="Times New Roman" w:eastAsia="宋体"/>
      <w:color w:val="000000"/>
      <w:sz w:val="24"/>
      <w:szCs w:val="16"/>
    </w:rPr>
  </w:style>
  <w:style w:type="paragraph" w:styleId="1017">
    <w:name w:val="Item Step in Table"/>
    <w:next w:val="1017"/>
    <w:link w:val="906"/>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18">
    <w:name w:val="丁华标题2"/>
    <w:basedOn w:val="908"/>
    <w:next w:val="1016"/>
    <w:link w:val="906"/>
    <w:uiPriority w:val="99"/>
    <w:pPr>
      <w:numPr>
        <w:ilvl w:val="1"/>
        <w:numId w:val="2"/>
      </w:numPr>
      <w:spacing w:line="415" w:lineRule="auto"/>
      <w:tabs>
        <w:tab w:val="left" w:pos="567" w:leader="none"/>
      </w:tabs>
    </w:pPr>
    <w:rPr>
      <w:rFonts w:ascii="Arial" w:hAnsi="Arial" w:eastAsia="黑体"/>
      <w:b w:val="0"/>
      <w:sz w:val="28"/>
      <w:szCs w:val="20"/>
    </w:rPr>
  </w:style>
  <w:style w:type="paragraph" w:styleId="1019">
    <w:name w:val="标题6"/>
    <w:basedOn w:val="911"/>
    <w:next w:val="1019"/>
    <w:link w:val="906"/>
    <w:uiPriority w:val="99"/>
    <w:pPr>
      <w:numPr>
        <w:ilvl w:val="0"/>
        <w:numId w:val="4"/>
      </w:numPr>
      <w:keepLines/>
      <w:tabs>
        <w:tab w:val="left" w:pos="420" w:leader="none"/>
      </w:tabs>
    </w:pPr>
    <w:rPr>
      <w:rFonts w:ascii="Times New Roman"/>
      <w:b w:val="0"/>
      <w:bCs/>
      <w:color w:val="000000"/>
      <w:sz w:val="24"/>
      <w:szCs w:val="28"/>
    </w:rPr>
  </w:style>
  <w:style w:type="paragraph" w:styleId="1020">
    <w:name w:val="Char Char2 Char Char"/>
    <w:basedOn w:val="933"/>
    <w:next w:val="1020"/>
    <w:link w:val="906"/>
    <w:uiPriority w:val="99"/>
    <w:pPr>
      <w:spacing w:line="436" w:lineRule="exact"/>
    </w:pPr>
    <w:rPr>
      <w:rFonts w:ascii="Tahoma" w:hAnsi="Tahoma"/>
      <w:sz w:val="24"/>
    </w:rPr>
  </w:style>
  <w:style w:type="paragraph" w:styleId="1021">
    <w:name w:val="Char Char Char"/>
    <w:basedOn w:val="933"/>
    <w:next w:val="1021"/>
    <w:link w:val="906"/>
    <w:uiPriority w:val="99"/>
    <w:pPr>
      <w:spacing w:line="436" w:lineRule="exact"/>
    </w:pPr>
    <w:rPr>
      <w:szCs w:val="24"/>
    </w:rPr>
  </w:style>
  <w:style w:type="paragraph" w:styleId="1022">
    <w:name w:val="Char Char Char Char Char Char Char Char Char Char Char Char Char"/>
    <w:basedOn w:val="933"/>
    <w:next w:val="1022"/>
    <w:link w:val="906"/>
    <w:uiPriority w:val="99"/>
    <w:rPr>
      <w:rFonts w:ascii="Tahoma" w:hAnsi="Tahoma"/>
      <w:sz w:val="24"/>
      <w:szCs w:val="24"/>
    </w:rPr>
  </w:style>
  <w:style w:type="paragraph" w:styleId="1023">
    <w:name w:val="列出段落1"/>
    <w:basedOn w:val="906"/>
    <w:next w:val="1023"/>
    <w:link w:val="906"/>
    <w:uiPriority w:val="99"/>
    <w:pPr>
      <w:contextualSpacing/>
      <w:ind w:left="720"/>
      <w:jc w:val="left"/>
      <w:widowControl/>
    </w:pPr>
    <w:rPr>
      <w:rFonts w:ascii="Arial" w:hAnsi="Arial" w:eastAsia="黑体"/>
      <w:sz w:val="24"/>
      <w:szCs w:val="24"/>
      <w:lang w:eastAsia="en-US"/>
    </w:rPr>
  </w:style>
  <w:style w:type="paragraph" w:styleId="1024">
    <w:name w:val="msolistparagraph"/>
    <w:basedOn w:val="906"/>
    <w:next w:val="1024"/>
    <w:link w:val="906"/>
    <w:uiPriority w:val="99"/>
    <w:pPr>
      <w:ind w:firstLine="420"/>
    </w:pPr>
    <w:rPr>
      <w:rFonts w:ascii="Calibri" w:hAnsi="Calibri"/>
      <w:szCs w:val="22"/>
    </w:rPr>
  </w:style>
  <w:style w:type="paragraph" w:styleId="1025">
    <w:name w:val="xl25"/>
    <w:basedOn w:val="906"/>
    <w:next w:val="1025"/>
    <w:link w:val="906"/>
    <w:uiPriority w:val="99"/>
    <w:pPr>
      <w:jc w:val="center"/>
      <w:spacing w:before="100" w:beforeAutospacing="1" w:after="100" w:afterAutospacing="1"/>
      <w:widowControl/>
      <w:pBdr>
        <w:right w:val="single" w:color="000000" w:sz="4" w:space="0"/>
      </w:pBdr>
    </w:pPr>
    <w:rPr>
      <w:szCs w:val="21"/>
    </w:rPr>
  </w:style>
  <w:style w:type="paragraph" w:styleId="1026">
    <w:name w:val="retrait3"/>
    <w:basedOn w:val="906"/>
    <w:next w:val="1026"/>
    <w:link w:val="906"/>
    <w:uiPriority w:val="99"/>
    <w:pPr>
      <w:ind w:left="851"/>
      <w:jc w:val="left"/>
      <w:spacing w:before="20" w:after="20"/>
      <w:widowControl/>
    </w:pPr>
    <w:rPr>
      <w:rFonts w:ascii="Arial" w:hAnsi="Arial"/>
      <w:sz w:val="24"/>
    </w:rPr>
  </w:style>
  <w:style w:type="paragraph" w:styleId="1027">
    <w:name w:val="xl115"/>
    <w:basedOn w:val="906"/>
    <w:next w:val="1027"/>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28">
    <w:name w:val="xl110"/>
    <w:basedOn w:val="906"/>
    <w:next w:val="1028"/>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29">
    <w:name w:val="xl108"/>
    <w:basedOn w:val="906"/>
    <w:next w:val="1029"/>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0">
    <w:name w:val="xl107"/>
    <w:basedOn w:val="906"/>
    <w:next w:val="1030"/>
    <w:link w:val="906"/>
    <w:pPr>
      <w:jc w:val="left"/>
      <w:spacing w:before="100" w:beforeAutospacing="1" w:after="100" w:afterAutospacing="1"/>
      <w:widowControl/>
    </w:pPr>
    <w:rPr>
      <w:rFonts w:ascii="Arial" w:hAnsi="Arial" w:cs="Arial"/>
      <w:sz w:val="20"/>
    </w:rPr>
  </w:style>
  <w:style w:type="paragraph" w:styleId="1031">
    <w:name w:val="xl114"/>
    <w:basedOn w:val="906"/>
    <w:next w:val="1031"/>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2">
    <w:name w:val="彩色底纹 - 强调文字颜色 61"/>
    <w:basedOn w:val="907"/>
    <w:next w:val="906"/>
    <w:link w:val="90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33">
    <w:name w:val="Char Char Char Char Char Char Char Char Char Char Char1 Char Char Char1"/>
    <w:basedOn w:val="906"/>
    <w:next w:val="1033"/>
    <w:link w:val="906"/>
    <w:uiPriority w:val="99"/>
    <w:semiHidden/>
    <w:pPr>
      <w:ind w:firstLine="200"/>
      <w:jc w:val="left"/>
    </w:pPr>
    <w:rPr>
      <w:rFonts w:ascii="Tahoma" w:hAnsi="Tahoma"/>
      <w:sz w:val="24"/>
      <w:szCs w:val="24"/>
    </w:rPr>
  </w:style>
  <w:style w:type="paragraph" w:styleId="1034">
    <w:name w:val="列出段落3"/>
    <w:basedOn w:val="906"/>
    <w:next w:val="1034"/>
    <w:link w:val="906"/>
    <w:uiPriority w:val="34"/>
    <w:qFormat/>
    <w:pPr>
      <w:ind w:firstLine="420"/>
    </w:pPr>
  </w:style>
  <w:style w:type="paragraph" w:styleId="1035">
    <w:name w:val="xl111"/>
    <w:basedOn w:val="906"/>
    <w:next w:val="1035"/>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6">
    <w:name w:val="xl112"/>
    <w:basedOn w:val="906"/>
    <w:next w:val="1036"/>
    <w:link w:val="90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7">
    <w:name w:val="段落"/>
    <w:basedOn w:val="906"/>
    <w:next w:val="1037"/>
    <w:link w:val="906"/>
    <w:uiPriority w:val="99"/>
    <w:pPr>
      <w:ind w:firstLine="480"/>
      <w:spacing w:line="460" w:lineRule="exact"/>
    </w:pPr>
    <w:rPr>
      <w:sz w:val="24"/>
    </w:rPr>
  </w:style>
  <w:style w:type="paragraph" w:styleId="1038">
    <w:name w:val="无间隔"/>
    <w:next w:val="1038"/>
    <w:link w:val="906"/>
    <w:uiPriority w:val="1"/>
    <w:qFormat/>
    <w:pPr>
      <w:jc w:val="both"/>
      <w:widowControl w:val="off"/>
    </w:pPr>
    <w:rPr>
      <w:sz w:val="21"/>
      <w:lang w:val="en-US" w:eastAsia="zh-CN" w:bidi="ar-SA"/>
    </w:rPr>
  </w:style>
  <w:style w:type="paragraph" w:styleId="1039">
    <w:name w:val="xl109"/>
    <w:basedOn w:val="906"/>
    <w:next w:val="1039"/>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40">
    <w:name w:val="font7"/>
    <w:basedOn w:val="906"/>
    <w:next w:val="1040"/>
    <w:link w:val="906"/>
    <w:pPr>
      <w:jc w:val="left"/>
      <w:spacing w:before="100" w:beforeAutospacing="1" w:after="100" w:afterAutospacing="1"/>
      <w:widowControl/>
    </w:pPr>
    <w:rPr>
      <w:rFonts w:ascii="Arial" w:hAnsi="Arial" w:cs="Arial"/>
      <w:color w:val="000000"/>
      <w:sz w:val="20"/>
    </w:rPr>
  </w:style>
  <w:style w:type="paragraph" w:styleId="1041">
    <w:name w:val="font6"/>
    <w:basedOn w:val="906"/>
    <w:next w:val="1041"/>
    <w:link w:val="906"/>
    <w:pPr>
      <w:jc w:val="left"/>
      <w:spacing w:before="100" w:beforeAutospacing="1" w:after="100" w:afterAutospacing="1"/>
      <w:widowControl/>
    </w:pPr>
    <w:rPr>
      <w:rFonts w:ascii="宋体" w:hAnsi="宋体" w:cs="宋体"/>
      <w:color w:val="000000"/>
      <w:sz w:val="20"/>
    </w:rPr>
  </w:style>
  <w:style w:type="paragraph" w:styleId="1042">
    <w:name w:val="p0"/>
    <w:basedOn w:val="906"/>
    <w:next w:val="1042"/>
    <w:link w:val="906"/>
    <w:uiPriority w:val="99"/>
    <w:pPr>
      <w:widowControl/>
    </w:pPr>
    <w:rPr>
      <w:szCs w:val="21"/>
    </w:rPr>
  </w:style>
  <w:style w:type="paragraph" w:styleId="1043">
    <w:name w:val="丁华标题1"/>
    <w:basedOn w:val="907"/>
    <w:next w:val="1016"/>
    <w:link w:val="906"/>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44">
    <w:name w:val="模板正文"/>
    <w:basedOn w:val="906"/>
    <w:next w:val="1044"/>
    <w:link w:val="906"/>
    <w:qFormat/>
    <w:pPr>
      <w:ind w:firstLine="200"/>
      <w:spacing w:before="120" w:line="360" w:lineRule="auto"/>
    </w:pPr>
    <w:rPr>
      <w:rFonts w:eastAsia="仿宋_GB2312"/>
      <w:sz w:val="24"/>
      <w:szCs w:val="21"/>
    </w:rPr>
  </w:style>
  <w:style w:type="paragraph" w:styleId="1045">
    <w:name w:val="表格1"/>
    <w:basedOn w:val="906"/>
    <w:next w:val="1045"/>
    <w:link w:val="906"/>
    <w:uiPriority w:val="99"/>
    <w:rPr>
      <w:rFonts w:ascii="宋体"/>
      <w:szCs w:val="21"/>
    </w:rPr>
  </w:style>
  <w:style w:type="paragraph" w:styleId="1046">
    <w:name w:val="tableau"/>
    <w:basedOn w:val="906"/>
    <w:next w:val="1046"/>
    <w:link w:val="906"/>
    <w:uiPriority w:val="99"/>
    <w:pPr>
      <w:jc w:val="center"/>
      <w:spacing w:before="20" w:after="20"/>
      <w:widowControl/>
    </w:pPr>
    <w:rPr>
      <w:rFonts w:ascii="Arial" w:hAnsi="Arial"/>
      <w:sz w:val="16"/>
      <w:lang w:eastAsia="en-US"/>
    </w:rPr>
  </w:style>
  <w:style w:type="paragraph" w:styleId="1047">
    <w:name w:val="Char"/>
    <w:basedOn w:val="906"/>
    <w:next w:val="1047"/>
    <w:link w:val="906"/>
    <w:rPr>
      <w:rFonts w:ascii="Tahoma" w:hAnsi="Tahoma" w:cs="仿宋_GB2312"/>
      <w:sz w:val="24"/>
      <w:szCs w:val="28"/>
    </w:rPr>
  </w:style>
  <w:style w:type="paragraph" w:styleId="1048">
    <w:name w:val="列出段落2"/>
    <w:basedOn w:val="906"/>
    <w:next w:val="1048"/>
    <w:link w:val="906"/>
    <w:uiPriority w:val="34"/>
    <w:qFormat/>
    <w:pPr>
      <w:ind w:firstLine="420"/>
    </w:pPr>
  </w:style>
  <w:style w:type="paragraph" w:styleId="1049">
    <w:name w:val="样式"/>
    <w:basedOn w:val="906"/>
    <w:next w:val="940"/>
    <w:link w:val="906"/>
    <w:uiPriority w:val="99"/>
    <w:rPr>
      <w:rFonts w:ascii="楷体_GB2312" w:hAnsi="Arial" w:eastAsia="楷体_GB2312"/>
      <w:sz w:val="28"/>
    </w:rPr>
  </w:style>
  <w:style w:type="paragraph" w:styleId="1050">
    <w:name w:val="xl113"/>
    <w:basedOn w:val="906"/>
    <w:next w:val="1050"/>
    <w:link w:val="90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51">
    <w:name w:val="Char Char Char Char"/>
    <w:basedOn w:val="933"/>
    <w:next w:val="1051"/>
    <w:link w:val="906"/>
    <w:uiPriority w:val="99"/>
    <w:pPr>
      <w:spacing w:line="360" w:lineRule="auto"/>
    </w:pPr>
    <w:rPr>
      <w:rFonts w:ascii="Tahoma" w:hAnsi="Tahoma"/>
      <w:sz w:val="24"/>
      <w:szCs w:val="24"/>
    </w:rPr>
  </w:style>
  <w:style w:type="paragraph" w:styleId="1052">
    <w:name w:val="彩色底纹1"/>
    <w:next w:val="1052"/>
    <w:link w:val="906"/>
    <w:uiPriority w:val="99"/>
    <w:unhideWhenUsed/>
    <w:rPr>
      <w:sz w:val="21"/>
      <w:lang w:val="en-US" w:eastAsia="zh-CN" w:bidi="ar-SA"/>
    </w:rPr>
  </w:style>
  <w:style w:type="paragraph" w:styleId="1053">
    <w:name w:val="普通正文"/>
    <w:basedOn w:val="906"/>
    <w:next w:val="1053"/>
    <w:link w:val="906"/>
    <w:uiPriority w:val="99"/>
    <w:qFormat/>
    <w:pPr>
      <w:ind w:firstLine="480"/>
      <w:jc w:val="left"/>
      <w:spacing w:before="120" w:after="120" w:line="360" w:lineRule="auto"/>
    </w:pPr>
    <w:rPr>
      <w:rFonts w:ascii="Arial" w:hAnsi="Arial" w:cs="Arial"/>
      <w:sz w:val="24"/>
      <w:szCs w:val="24"/>
    </w:rPr>
  </w:style>
  <w:style w:type="paragraph" w:styleId="1054">
    <w:name w:val="xl116"/>
    <w:basedOn w:val="906"/>
    <w:next w:val="1054"/>
    <w:link w:val="90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5">
    <w:name w:val="彩色列表1"/>
    <w:basedOn w:val="906"/>
    <w:next w:val="1055"/>
    <w:link w:val="906"/>
    <w:uiPriority w:val="34"/>
    <w:qFormat/>
    <w:pPr>
      <w:ind w:firstLine="420"/>
    </w:pPr>
    <w:rPr>
      <w:rFonts w:ascii="Calibri" w:hAnsi="Calibri"/>
      <w:szCs w:val="22"/>
    </w:rPr>
  </w:style>
  <w:style w:type="paragraph" w:styleId="1056">
    <w:name w:val="Bullets L1"/>
    <w:basedOn w:val="906"/>
    <w:next w:val="1056"/>
    <w:link w:val="906"/>
    <w:uiPriority w:val="99"/>
    <w:pPr>
      <w:numPr>
        <w:ilvl w:val="0"/>
        <w:numId w:val="5"/>
      </w:numPr>
      <w:jc w:val="left"/>
      <w:spacing w:before="60" w:after="60"/>
      <w:widowControl/>
      <w:tabs>
        <w:tab w:val="left" w:pos="360" w:leader="none"/>
      </w:tabs>
    </w:pPr>
    <w:rPr>
      <w:rFonts w:ascii="Arial" w:hAnsi="Arial"/>
      <w:sz w:val="20"/>
    </w:rPr>
  </w:style>
  <w:style w:type="paragraph" w:styleId="1057">
    <w:name w:val="默认段落字体 Para Char"/>
    <w:basedOn w:val="906"/>
    <w:next w:val="1057"/>
    <w:link w:val="906"/>
    <w:uiPriority w:val="99"/>
    <w:rPr>
      <w:sz w:val="24"/>
      <w:szCs w:val="24"/>
    </w:rPr>
  </w:style>
  <w:style w:type="paragraph" w:styleId="1058">
    <w:name w:val="默认段落字体 Para Char Char Char Char Char Char Char"/>
    <w:basedOn w:val="906"/>
    <w:next w:val="1058"/>
    <w:link w:val="906"/>
    <w:uiPriority w:val="99"/>
  </w:style>
  <w:style w:type="paragraph" w:styleId="1059">
    <w:name w:val="font5"/>
    <w:basedOn w:val="906"/>
    <w:next w:val="1059"/>
    <w:link w:val="906"/>
    <w:pPr>
      <w:jc w:val="left"/>
      <w:spacing w:before="100" w:beforeAutospacing="1" w:after="100" w:afterAutospacing="1"/>
      <w:widowControl/>
    </w:pPr>
    <w:rPr>
      <w:rFonts w:ascii="宋体" w:hAnsi="宋体" w:cs="宋体"/>
      <w:sz w:val="18"/>
      <w:szCs w:val="18"/>
    </w:rPr>
  </w:style>
  <w:style w:type="paragraph" w:styleId="1060">
    <w:name w:val="论文正文"/>
    <w:basedOn w:val="954"/>
    <w:next w:val="1060"/>
    <w:link w:val="906"/>
    <w:uiPriority w:val="99"/>
    <w:pPr>
      <w:ind w:left="0" w:firstLine="200"/>
      <w:jc w:val="left"/>
      <w:spacing w:line="360" w:lineRule="auto"/>
    </w:pPr>
    <w:rPr>
      <w:rFonts w:ascii="Times New Roman" w:hAnsi="Times New Roman"/>
      <w:sz w:val="28"/>
      <w:szCs w:val="24"/>
    </w:rPr>
  </w:style>
  <w:style w:type="paragraph" w:styleId="1061">
    <w:name w:val="丁华标题3"/>
    <w:basedOn w:val="1018"/>
    <w:next w:val="1016"/>
    <w:link w:val="906"/>
    <w:uiPriority w:val="99"/>
    <w:pPr>
      <w:numPr>
        <w:ilvl w:val="1"/>
        <w:numId w:val="0"/>
      </w:numPr>
      <w:ind w:left="1980" w:hanging="420"/>
      <w:spacing w:after="0"/>
      <w:tabs>
        <w:tab w:val="left" w:pos="1470" w:leader="none"/>
        <w:tab w:val="left" w:pos="1980" w:leader="none"/>
      </w:tabs>
      <w:outlineLvl w:val="2"/>
    </w:pPr>
    <w:rPr>
      <w:sz w:val="24"/>
    </w:rPr>
  </w:style>
  <w:style w:type="paragraph" w:styleId="1062">
    <w:name w:val="List Paragraph1"/>
    <w:basedOn w:val="906"/>
    <w:next w:val="1062"/>
    <w:link w:val="906"/>
    <w:uiPriority w:val="99"/>
    <w:pPr>
      <w:ind w:firstLine="420"/>
    </w:pPr>
    <w:rPr>
      <w:szCs w:val="24"/>
    </w:rPr>
  </w:style>
  <w:style w:type="paragraph" w:styleId="1063">
    <w:name w:val="Char1"/>
    <w:basedOn w:val="906"/>
    <w:next w:val="1063"/>
    <w:link w:val="906"/>
    <w:uiPriority w:val="99"/>
    <w:pPr>
      <w:jc w:val="left"/>
      <w:spacing w:after="160" w:line="240" w:lineRule="exact"/>
      <w:widowControl/>
    </w:pPr>
    <w:rPr>
      <w:rFonts w:ascii="Verdana" w:hAnsi="Verdana" w:eastAsia="仿宋_GB2312"/>
      <w:sz w:val="24"/>
      <w:lang w:eastAsia="en-US"/>
    </w:rPr>
  </w:style>
  <w:style w:type="paragraph" w:styleId="1064">
    <w:name w:val="xl117"/>
    <w:basedOn w:val="906"/>
    <w:next w:val="1064"/>
    <w:link w:val="90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5">
    <w:name w:val="Table Paragraph"/>
    <w:basedOn w:val="906"/>
    <w:next w:val="1065"/>
    <w:link w:val="906"/>
    <w:uiPriority w:val="1"/>
    <w:unhideWhenUsed/>
    <w:qFormat/>
    <w:rPr>
      <w:rFonts w:hint="eastAsia"/>
      <w:sz w:val="24"/>
    </w:rPr>
  </w:style>
  <w:style w:type="paragraph" w:styleId="1066">
    <w:name w:val="Default"/>
    <w:next w:val="1066"/>
    <w:link w:val="906"/>
    <w:qFormat/>
    <w:pPr>
      <w:widowControl w:val="off"/>
    </w:pPr>
    <w:rPr>
      <w:rFonts w:ascii="宋体" w:cs="宋体"/>
      <w:color w:val="000000"/>
      <w:sz w:val="24"/>
      <w:szCs w:val="24"/>
      <w:lang w:val="en-US" w:eastAsia="zh-CN" w:bidi="ar-SA"/>
    </w:rPr>
  </w:style>
  <w:style w:type="paragraph" w:styleId="1067">
    <w:name w:val="_Style 8"/>
    <w:basedOn w:val="906"/>
    <w:next w:val="1055"/>
    <w:link w:val="906"/>
    <w:uiPriority w:val="99"/>
    <w:qFormat/>
    <w:pPr>
      <w:ind w:firstLine="420"/>
    </w:pPr>
    <w:rPr>
      <w:rFonts w:ascii="Calibri" w:hAnsi="Calibri"/>
      <w:szCs w:val="22"/>
    </w:rPr>
  </w:style>
  <w:style w:type="table" w:styleId="1068">
    <w:name w:val="Table Normal"/>
    <w:next w:val="1068"/>
    <w:link w:val="906"/>
    <w:uiPriority w:val="2"/>
    <w:unhideWhenUsed/>
    <w:qFormat/>
    <w:pPr>
      <w:widowControl w:val="off"/>
    </w:pPr>
    <w:rPr>
      <w:sz w:val="22"/>
      <w:szCs w:val="22"/>
      <w:lang w:val="en-US" w:eastAsia="en-US" w:bidi="ar-SA"/>
    </w:rPr>
    <w:tblPr/>
  </w:style>
  <w:style w:type="paragraph" w:styleId="1069">
    <w:name w:val="[Normal]"/>
    <w:next w:val="1069"/>
    <w:link w:val="906"/>
    <w:qFormat/>
    <w:rPr>
      <w:rFonts w:ascii="方正仿宋简体" w:hAnsi="方正仿宋简体" w:eastAsia="方正仿宋简体" w:cs="Courier New"/>
      <w:sz w:val="24"/>
      <w:szCs w:val="22"/>
      <w:lang w:val="zh-CN" w:eastAsia="zh-CN" w:bidi="ar-SA"/>
    </w:rPr>
  </w:style>
  <w:style w:type="paragraph" w:styleId="1070">
    <w:name w:val="正文文本1111"/>
    <w:basedOn w:val="906"/>
    <w:next w:val="906"/>
    <w:link w:val="906"/>
    <w:uiPriority w:val="99"/>
    <w:qFormat/>
    <w:rPr>
      <w:rFonts w:ascii="宋体"/>
      <w:sz w:val="28"/>
    </w:rPr>
  </w:style>
  <w:style w:type="paragraph" w:styleId="1071">
    <w:name w:val="正文_0"/>
    <w:next w:val="1071"/>
    <w:link w:val="906"/>
    <w:qFormat/>
    <w:pPr>
      <w:jc w:val="both"/>
      <w:widowControl w:val="off"/>
    </w:pPr>
    <w:rPr>
      <w:sz w:val="21"/>
      <w:lang w:val="en-US" w:eastAsia="zh-CN" w:bidi="ar-SA"/>
    </w:rPr>
  </w:style>
  <w:style w:type="paragraph" w:styleId="1072">
    <w:name w:val="Blockquote"/>
    <w:basedOn w:val="906"/>
    <w:next w:val="1072"/>
    <w:link w:val="906"/>
    <w:qFormat/>
    <w:pPr>
      <w:ind w:left="360" w:right="360"/>
      <w:jc w:val="left"/>
      <w:spacing w:before="100" w:after="100"/>
    </w:pPr>
    <w:rPr>
      <w:sz w:val="24"/>
    </w:rPr>
  </w:style>
  <w:style w:type="paragraph" w:styleId="1073">
    <w:name w:val="Body text|1"/>
    <w:next w:val="1073"/>
    <w:link w:val="906"/>
    <w:qFormat/>
    <w:pPr>
      <w:ind w:firstLine="400"/>
      <w:jc w:val="both"/>
      <w:spacing w:line="391" w:lineRule="auto"/>
      <w:widowControl w:val="off"/>
    </w:pPr>
    <w:rPr>
      <w:rFonts w:ascii="宋体" w:hAnsi="宋体" w:cs="宋体"/>
      <w:sz w:val="30"/>
      <w:szCs w:val="30"/>
      <w:lang w:val="zh-TW" w:eastAsia="zh-TW" w:bidi="zh-TW"/>
    </w:rPr>
  </w:style>
  <w:style w:type="paragraph" w:styleId="1074">
    <w:name w:val="Table caption|1"/>
    <w:next w:val="1074"/>
    <w:link w:val="906"/>
    <w:qFormat/>
    <w:pPr>
      <w:jc w:val="both"/>
      <w:widowControl w:val="off"/>
    </w:pPr>
    <w:rPr>
      <w:rFonts w:ascii="宋体" w:hAnsi="宋体" w:cs="宋体"/>
      <w:sz w:val="21"/>
      <w:lang w:val="zh-TW" w:eastAsia="zh-TW" w:bidi="zh-TW"/>
    </w:rPr>
  </w:style>
  <w:style w:type="paragraph" w:styleId="1075">
    <w:name w:val="Other|1"/>
    <w:next w:val="1075"/>
    <w:link w:val="906"/>
    <w:qFormat/>
    <w:pPr>
      <w:ind w:firstLine="400"/>
      <w:jc w:val="both"/>
      <w:spacing w:line="391" w:lineRule="auto"/>
      <w:widowControl w:val="off"/>
    </w:pPr>
    <w:rPr>
      <w:rFonts w:ascii="宋体" w:hAnsi="宋体" w:cs="宋体"/>
      <w:sz w:val="30"/>
      <w:szCs w:val="30"/>
      <w:lang w:val="zh-TW" w:eastAsia="zh-TW" w:bidi="zh-TW"/>
    </w:rPr>
  </w:style>
  <w:style w:type="paragraph" w:styleId="1076">
    <w:name w:val="标题 41"/>
    <w:basedOn w:val="906"/>
    <w:next w:val="1077"/>
    <w:link w:val="906"/>
    <w:qFormat/>
    <w:pPr>
      <w:keepLines/>
      <w:keepNext/>
      <w:spacing w:before="280" w:after="290" w:line="376" w:lineRule="auto"/>
      <w:outlineLvl w:val="3"/>
    </w:pPr>
    <w:rPr>
      <w:rFonts w:ascii="Arial" w:hAnsi="Arial" w:eastAsia="黑体" w:cs="Arial"/>
      <w:b/>
      <w:bCs/>
      <w:sz w:val="28"/>
      <w:szCs w:val="28"/>
    </w:rPr>
  </w:style>
  <w:style w:type="paragraph" w:styleId="1077">
    <w:name w:val="正文缩进1"/>
    <w:basedOn w:val="906"/>
    <w:next w:val="1077"/>
    <w:link w:val="906"/>
    <w:qFormat/>
    <w:pPr>
      <w:ind w:firstLine="420"/>
    </w:pPr>
    <w:rPr>
      <w:szCs w:val="21"/>
    </w:rPr>
  </w:style>
  <w:style w:type="paragraph" w:styleId="1078">
    <w:name w:val="（RZM政采）正文-首行缩进2"/>
    <w:basedOn w:val="906"/>
    <w:next w:val="1078"/>
    <w:link w:val="906"/>
    <w:qFormat/>
    <w:pPr>
      <w:ind w:firstLine="200"/>
      <w:spacing w:line="360" w:lineRule="auto"/>
    </w:pPr>
    <w:rPr>
      <w:rFonts w:ascii="宋体" w:hAnsi="宋体"/>
    </w:rPr>
  </w:style>
  <w:style w:type="paragraph" w:styleId="1079">
    <w:name w:val="索引 41"/>
    <w:basedOn w:val="906"/>
    <w:next w:val="906"/>
    <w:link w:val="906"/>
    <w:semiHidden/>
    <w:qFormat/>
    <w:pPr>
      <w:ind w:left="1260"/>
    </w:pPr>
    <w:rPr>
      <w:rFonts w:ascii="Calibri" w:hAnsi="Calibri" w:eastAsia="Calibri" w:cs="宋体"/>
      <w:sz w:val="20"/>
      <w:lang w:val="zh-CN"/>
    </w:rPr>
  </w:style>
  <w:style w:type="paragraph" w:styleId="1080">
    <w:name w:val="Normal_20"/>
    <w:next w:val="1080"/>
    <w:link w:val="906"/>
    <w:qFormat/>
    <w:pPr>
      <w:jc w:val="center"/>
      <w:spacing w:after="200" w:line="276" w:lineRule="auto"/>
      <w:outlineLvl w:val="0"/>
    </w:pPr>
    <w:rPr>
      <w:rFonts w:ascii="黑体" w:hAnsi="黑体" w:eastAsia="黑体"/>
      <w:b/>
      <w:sz w:val="32"/>
      <w:szCs w:val="24"/>
      <w:lang w:val="en-US" w:eastAsia="zh-CN" w:bidi="ar-SA"/>
    </w:rPr>
  </w:style>
  <w:style w:type="paragraph" w:styleId="1081">
    <w:name w:val="正文首行缩进 21"/>
    <w:basedOn w:val="1082"/>
    <w:next w:val="906"/>
    <w:link w:val="906"/>
    <w:qFormat/>
    <w:pPr>
      <w:ind w:left="0" w:firstLine="420"/>
      <w:spacing w:after="0" w:line="360" w:lineRule="auto"/>
    </w:pPr>
    <w:rPr>
      <w:rFonts w:ascii="宋体" w:hAnsi="宋体" w:eastAsia="宋体" w:cs="Times New Roman"/>
      <w:szCs w:val="20"/>
    </w:rPr>
  </w:style>
  <w:style w:type="paragraph" w:styleId="1082">
    <w:name w:val="正文文本缩进11"/>
    <w:basedOn w:val="906"/>
    <w:next w:val="1083"/>
    <w:link w:val="906"/>
    <w:unhideWhenUsed/>
    <w:qFormat/>
    <w:pPr>
      <w:ind w:left="420"/>
      <w:spacing w:after="120"/>
    </w:pPr>
  </w:style>
  <w:style w:type="paragraph" w:styleId="1083">
    <w:name w:val="寄信人地址1"/>
    <w:basedOn w:val="906"/>
    <w:next w:val="1083"/>
    <w:link w:val="906"/>
    <w:qFormat/>
    <w:rPr>
      <w:rFonts w:ascii="Arial" w:hAnsi="Arial" w:eastAsia="宋体" w:cs="宋体"/>
    </w:rPr>
  </w:style>
  <w:style w:type="paragraph" w:styleId="1084">
    <w:name w:val="标题 31"/>
    <w:basedOn w:val="906"/>
    <w:next w:val="1077"/>
    <w:link w:val="906"/>
    <w:qFormat/>
    <w:pPr>
      <w:keepLines/>
      <w:keepNext/>
      <w:spacing w:before="260" w:after="260" w:line="416" w:lineRule="auto"/>
      <w:outlineLvl w:val="2"/>
    </w:pPr>
    <w:rPr>
      <w:b/>
      <w:bCs/>
      <w:sz w:val="32"/>
      <w:szCs w:val="32"/>
    </w:rPr>
  </w:style>
  <w:style w:type="paragraph" w:styleId="1085">
    <w:name w:val="正文首行缩进 211"/>
    <w:basedOn w:val="1082"/>
    <w:next w:val="906"/>
    <w:link w:val="906"/>
    <w:qFormat/>
    <w:pPr>
      <w:ind w:left="0" w:firstLine="420"/>
      <w:spacing w:after="0" w:line="360" w:lineRule="auto"/>
    </w:pPr>
    <w:rPr>
      <w:rFonts w:ascii="宋体" w:hAnsi="宋体"/>
      <w:szCs w:val="20"/>
    </w:rPr>
  </w:style>
  <w:style w:type="character" w:styleId="18727" w:default="1">
    <w:name w:val="Default Paragraph Font"/>
    <w:uiPriority w:val="1"/>
    <w:semiHidden/>
    <w:unhideWhenUsed/>
  </w:style>
  <w:style w:type="numbering" w:styleId="18728" w:default="1">
    <w:name w:val="No List"/>
    <w:uiPriority w:val="99"/>
    <w:semiHidden/>
    <w:unhideWhenUsed/>
  </w:style>
  <w:style w:type="table" w:styleId="187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oleObject" Target="embeddings/oleObject1.bin"/><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薛健</cp:lastModifiedBy>
  <cp:revision>4</cp:revision>
  <dcterms:created xsi:type="dcterms:W3CDTF">2025-10-30T08:16:00Z</dcterms:created>
  <dcterms:modified xsi:type="dcterms:W3CDTF">2025-11-17T01:38:20Z</dcterms:modified>
</cp:coreProperties>
</file>